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rPr>
          <w:rFonts w:hint="eastAsia"/>
        </w:rPr>
      </w:pPr>
      <w:r>
        <w:rPr>
          <w:rFonts w:hint="eastAsia"/>
        </w:rPr>
      </w:r>
      <w:r/>
    </w:p>
    <w:p>
      <w:pPr>
        <w:pStyle w:val="95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江宁织造博物馆馆内两部客梯</w:t>
      </w:r>
      <w:r>
        <w:rPr>
          <w:rFonts w:ascii="Times New Roman" w:hAnsi="Times New Roman" w:eastAsia="宋体" w:cs="Times New Roman"/>
          <w:b/>
          <w:color w:val="000000"/>
          <w:sz w:val="30"/>
          <w:szCs w:val="30"/>
          <w:lang w:val="en-US" w:eastAsia="zh-CN"/>
        </w:rPr>
      </w:r>
      <w:r/>
    </w:p>
    <w:p>
      <w:pPr>
        <w:pStyle w:val="869"/>
        <w:ind w:firstLine="1506"/>
        <w:rPr>
          <w:rFonts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0149</w:t>
      </w:r>
      <w:r>
        <w:rPr>
          <w:rFonts w:eastAsia="宋体" w:cs="Times New Roman"/>
          <w:b/>
          <w:color w:val="000000"/>
          <w:sz w:val="30"/>
          <w:szCs w:val="30"/>
          <w:lang w:val="en-US"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8"/>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479757206"/>
      <w:r/>
      <w:bookmarkStart w:id="3" w:name="_Toc16938516"/>
      <w:r/>
      <w:bookmarkStart w:id="4" w:name="_Toc20823272"/>
      <w:r/>
      <w:bookmarkStart w:id="5" w:name="_Toc523127445"/>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ind w:right="840"/>
        <w:jc w:val="center"/>
        <w:rPr>
          <w:rFonts w:hint="eastAsia" w:ascii="Arial Unicode MS" w:hAnsi="Arial Unicode MS" w:eastAsia="Arial Unicode MS" w:cs="Arial Unicode MS"/>
          <w:color w:val="000000"/>
          <w:sz w:val="36"/>
          <w:szCs w:val="36"/>
        </w:rPr>
        <w:outlineLvl w:val="9"/>
      </w:pPr>
      <w:r/>
      <w:bookmarkEnd w:id="0"/>
      <w:r>
        <w:rPr>
          <w:rFonts w:hint="eastAsia" w:ascii="Arial Unicode MS" w:hAnsi="Arial Unicode MS" w:eastAsia="Arial Unicode MS" w:cs="Arial Unicode MS"/>
          <w:color w:val="000000"/>
          <w:sz w:val="36"/>
          <w:szCs w:val="36"/>
        </w:rPr>
      </w:r>
      <w:r/>
    </w:p>
    <w:p>
      <w:pPr>
        <w:pStyle w:val="869"/>
        <w:ind w:right="840"/>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投标邀请</w:t>
      </w:r>
      <w:r>
        <w:rPr>
          <w:rFonts w:hint="eastAsia" w:ascii="Arial Unicode MS" w:hAnsi="Arial Unicode MS" w:eastAsia="Arial Unicode MS" w:cs="Arial Unicode MS"/>
          <w:color w:val="000000"/>
          <w:sz w:val="36"/>
          <w:szCs w:val="36"/>
        </w:rPr>
      </w:r>
      <w:r/>
    </w:p>
    <w:p>
      <w:pPr>
        <w:pStyle w:val="869"/>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52" w:lineRule="auto"/>
        <w:widowControl w:val="off"/>
        <w:rPr>
          <w:rFonts w:ascii="宋体" w:hAnsi="宋体"/>
          <w:sz w:val="24"/>
          <w:szCs w:val="24"/>
        </w:rPr>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ascii="宋体" w:hAnsi="宋体" w:eastAsia="宋体" w:cs="Times New Roman"/>
          <w:b w:val="0"/>
          <w:bCs w:val="0"/>
          <w:color w:val="000000"/>
          <w:sz w:val="24"/>
          <w:szCs w:val="24"/>
          <w:lang w:eastAsia="zh-CN"/>
        </w:rPr>
        <w:t xml:space="preserve">受南京市博物总馆委托，南京市公共资源交易中心（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）就江宁织造博物馆馆内两部客梯进行公开招标采购，欢迎符合条件的供应</w:t>
      </w:r>
      <w:r>
        <w:rPr>
          <w:rFonts w:hint="eastAsia" w:ascii="宋体" w:hAnsi="宋体"/>
          <w:sz w:val="24"/>
          <w:szCs w:val="24"/>
        </w:rPr>
        <w:t xml:space="preserve">商投标。</w:t>
      </w:r>
      <w:r>
        <w:rPr>
          <w:rFonts w:ascii="宋体" w:hAnsi="宋体"/>
          <w:sz w:val="24"/>
          <w:szCs w:val="24"/>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olor w:val="000000"/>
          <w:sz w:val="24"/>
          <w:szCs w:val="24"/>
        </w:rPr>
      </w:pPr>
      <w:r/>
      <w:bookmarkEnd w:id="11"/>
      <w:r/>
      <w:bookmarkStart w:id="12" w:name="_Toc35393622"/>
      <w:r/>
      <w:bookmarkStart w:id="13" w:name="_Toc28359003"/>
      <w:r/>
      <w:bookmarkStart w:id="14" w:name="_Toc38985264"/>
      <w:r/>
      <w:bookmarkStart w:id="15" w:name="_Toc28359080"/>
      <w:r/>
      <w:bookmarkStart w:id="16" w:name="_Toc3539379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26</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0149</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69"/>
        <w:ind w:firstLine="480"/>
        <w:pageBreakBefore w:val="0"/>
        <w:spacing w:line="252"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eastAsia="zh-CN"/>
        </w:rPr>
        <w:t xml:space="preserve">江宁织造博物馆馆内两部客梯</w:t>
      </w:r>
      <w:r>
        <w:rPr>
          <w:rFonts w:hint="eastAsia" w:ascii="宋体" w:hAnsi="宋体" w:eastAsia="宋体"/>
          <w:color w:val="000000"/>
          <w:sz w:val="24"/>
          <w:szCs w:val="24"/>
          <w:lang w:eastAsia="zh-CN"/>
        </w:rPr>
      </w:r>
      <w:r/>
    </w:p>
    <w:p>
      <w:pPr>
        <w:pStyle w:val="869"/>
        <w:ind w:firstLine="48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70万元</w:t>
      </w:r>
      <w:r>
        <w:rPr>
          <w:rFonts w:ascii="宋体" w:hAnsi="宋体" w:eastAsia="宋体"/>
          <w:color w:val="000000"/>
          <w:sz w:val="24"/>
          <w:szCs w:val="24"/>
          <w:lang w:val="en-US" w:eastAsia="zh-CN"/>
        </w:rPr>
      </w:r>
      <w:r/>
    </w:p>
    <w:p>
      <w:pPr>
        <w:pStyle w:val="869"/>
        <w:ind w:firstLine="480"/>
        <w:pageBreakBefore w:val="0"/>
        <w:spacing w:line="252" w:lineRule="auto"/>
        <w:widowControl w:val="off"/>
        <w:rPr>
          <w:rFonts w:ascii="宋体" w:hAnsi="宋体" w:eastAsia="宋体" w:cs="宋体"/>
          <w:color w:val="000000"/>
          <w:sz w:val="24"/>
          <w:szCs w:val="24"/>
          <w:highlight w:val="yellow"/>
          <w:lang w:val="en-US" w:eastAsia="zh-CN"/>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70万元</w:t>
      </w:r>
      <w:r>
        <w:rPr>
          <w:rFonts w:ascii="宋体" w:hAnsi="宋体" w:eastAsia="宋体" w:cs="宋体"/>
          <w:color w:val="000000"/>
          <w:sz w:val="24"/>
          <w:szCs w:val="24"/>
          <w:highlight w:val="yellow"/>
          <w:lang w:val="en-US" w:eastAsia="zh-CN"/>
        </w:rPr>
      </w:r>
      <w:r/>
    </w:p>
    <w:p>
      <w:pPr>
        <w:pStyle w:val="869"/>
        <w:ind w:firstLine="480"/>
        <w:pageBreakBefore w:val="0"/>
        <w:spacing w:line="252"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color w:val="000000"/>
          <w:sz w:val="24"/>
          <w:szCs w:val="24"/>
        </w:rPr>
        <w:t xml:space="preserve">对馆内</w:t>
      </w:r>
      <w:r>
        <w:rPr>
          <w:rFonts w:hint="eastAsia" w:ascii="宋体" w:hAnsi="宋体"/>
          <w:color w:val="000000"/>
          <w:sz w:val="24"/>
          <w:szCs w:val="24"/>
          <w:lang w:val="en-US" w:eastAsia="zh-CN"/>
        </w:rPr>
        <w:t xml:space="preserve">两部</w:t>
      </w:r>
      <w:r>
        <w:rPr>
          <w:rFonts w:hint="eastAsia" w:ascii="宋体" w:hAnsi="宋体"/>
          <w:color w:val="000000"/>
          <w:sz w:val="24"/>
          <w:szCs w:val="24"/>
        </w:rPr>
        <w:t xml:space="preserve">老旧箱式客梯进行更换</w:t>
      </w:r>
      <w:r>
        <w:rPr>
          <w:rFonts w:hint="eastAsia" w:ascii="宋体" w:hAnsi="宋体"/>
          <w:color w:val="000000"/>
          <w:sz w:val="24"/>
          <w:szCs w:val="24"/>
          <w:lang w:eastAsia="zh-CN"/>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69"/>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sz w:val="24"/>
          <w:szCs w:val="24"/>
        </w:rPr>
        <w:t xml:space="preserve">6.合同履行期限</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合同生效之日起90天（合同签订后20天为订货期，订货期间需配合采购人完成旧梯拆除后的资产报废工作，</w:t>
      </w:r>
      <w:r>
        <w:rPr>
          <w:rFonts w:ascii="宋体" w:hAnsi="宋体" w:eastAsia="宋体" w:cs="宋体"/>
          <w:color w:val="000000"/>
          <w:sz w:val="24"/>
          <w:szCs w:val="24"/>
        </w:rPr>
        <w:t xml:space="preserve">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hint="eastAsia" w:ascii="宋体" w:hAnsi="宋体" w:eastAsia="宋体" w:cs="Times New Roman"/>
          <w:sz w:val="24"/>
          <w:szCs w:val="24"/>
          <w:lang w:val="en-US" w:eastAsia="zh-CN"/>
        </w:rPr>
        <w:t xml:space="preserve">合同履约期限内需完成新梯供货、安装、调试、验收、报检等服务）。</w:t>
      </w:r>
      <w:r>
        <w:rPr>
          <w:rFonts w:hint="eastAsia" w:ascii="宋体" w:hAnsi="宋体" w:eastAsia="宋体" w:cs="Times New Roman"/>
          <w:sz w:val="24"/>
          <w:szCs w:val="24"/>
          <w:lang w:eastAsia="zh-CN"/>
        </w:rPr>
      </w:r>
      <w:r/>
    </w:p>
    <w:p>
      <w:pPr>
        <w:pStyle w:val="869"/>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spacing w:line="252" w:lineRule="auto"/>
        <w:rPr>
          <w:rFonts w:hint="eastAsia"/>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w:t>
      </w:r>
      <w:r>
        <w:rPr>
          <w:rFonts w:hint="eastAsia" w:ascii="宋体" w:hAnsi="宋体" w:eastAsia="宋体" w:cs="Times New Roman"/>
          <w:sz w:val="24"/>
          <w:szCs w:val="24"/>
          <w:lang w:val="en-US" w:eastAsia="zh-CN"/>
        </w:rPr>
        <w:t xml:space="preserve">品投标。</w:t>
      </w:r>
      <w:r>
        <w:rPr>
          <w:rFonts w:hint="eastAsia"/>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69"/>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rPr>
          <w:rFonts w:ascii="宋体" w:hAnsi="宋体"/>
          <w:sz w:val="24"/>
          <w:szCs w:val="24"/>
        </w:rPr>
      </w:r>
      <w:r/>
    </w:p>
    <w:p>
      <w:pPr>
        <w:pStyle w:val="869"/>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69"/>
        <w:ind w:firstLine="480"/>
        <w:pageBreakBefore w:val="0"/>
        <w:spacing w:line="252" w:lineRule="auto"/>
        <w:widowControl w:val="off"/>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2.落实政府采购政策需满足的资格要求：无。</w:t>
      </w:r>
      <w:r>
        <w:rPr>
          <w:rFonts w:hint="eastAsia" w:ascii="宋体" w:hAnsi="宋体" w:eastAsia="宋体" w:cs="Times New Roman"/>
          <w:sz w:val="24"/>
          <w:szCs w:val="24"/>
          <w:lang w:val="zh-CN" w:eastAsia="zh-CN"/>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sz w:val="24"/>
          <w:szCs w:val="24"/>
          <w:lang w:val="en-US" w:eastAsia="zh-CN"/>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（二）本项目特定资格要求：</w:t>
      </w:r>
      <w:r>
        <w:rPr>
          <w:rFonts w:hint="eastAsia" w:ascii="宋体" w:hAnsi="宋体" w:eastAsia="宋体" w:cs="Times New Roman"/>
          <w:sz w:val="24"/>
          <w:szCs w:val="24"/>
          <w:lang w:val="en-US" w:eastAsia="zh-CN"/>
        </w:rPr>
      </w:r>
      <w:r/>
    </w:p>
    <w:p>
      <w:pPr>
        <w:pStyle w:val="869"/>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（1）供应商如为设备制造商，则须具有有效期内的《中华人民共和国特种设备生产许可证》许可项目电梯制造(含安装、修理、改造)（提供证书或证明文件扫描件）；</w:t>
      </w:r>
      <w:r>
        <w:rPr>
          <w:rFonts w:hint="eastAsia" w:ascii="宋体" w:hAnsi="宋体" w:eastAsia="宋体" w:cs="Times New Roman"/>
          <w:color w:val="000000"/>
          <w:sz w:val="24"/>
          <w:szCs w:val="24"/>
          <w:lang w:val="en-US" w:eastAsia="zh-CN"/>
        </w:rPr>
      </w:r>
      <w:r/>
    </w:p>
    <w:p>
      <w:pPr>
        <w:pStyle w:val="869"/>
        <w:ind w:firstLine="480"/>
        <w:pageBreakBefore w:val="0"/>
        <w:spacing w:line="252"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Times New Roman"/>
          <w:color w:val="000000"/>
          <w:sz w:val="24"/>
          <w:szCs w:val="24"/>
          <w:lang w:val="en-US" w:eastAsia="zh-CN"/>
        </w:rPr>
        <w:t xml:space="preserve">（2）供应商如为设备代理商，则须具有有效期内的《中华人民共和国特种设备生产许可证》许可项目电梯安装（含修理）；其代理的电梯制造商应具有有效期内的《中华人民共和国特种设备生产许可证》许可项目电梯制造(含安装、修理、改造)（提供证书或证明文件扫描件）。</w:t>
      </w:r>
      <w:r>
        <w:rPr>
          <w:rFonts w:hint="eastAsia" w:ascii="宋体" w:hAnsi="宋体" w:eastAsia="宋体" w:cs="Times New Roman"/>
          <w:color w:val="0000ff"/>
          <w:sz w:val="24"/>
          <w:szCs w:val="24"/>
          <w:u w:val="none"/>
          <w:lang w:val="en-US" w:eastAsia="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bCs/>
          <w:color w:val="000000" w:themeColor="text1"/>
          <w:sz w:val="24"/>
          <w:szCs w:val="24"/>
          <w:u w:val="single"/>
        </w:rPr>
      </w:pPr>
      <w:r/>
      <w:bookmarkStart w:id="27" w:name="_Toc38985267"/>
      <w:r/>
      <w:bookmarkStart w:id="28" w:name="_Toc28359007"/>
      <w:r/>
      <w:bookmarkStart w:id="29" w:name="_Toc35393625"/>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月26</w:t>
      </w:r>
      <w:r>
        <w:rPr>
          <w:rFonts w:hint="eastAsia" w:ascii="宋体" w:hAnsi="宋体"/>
          <w:bCs/>
          <w:color w:val="000000" w:themeColor="text1"/>
          <w:sz w:val="24"/>
          <w:szCs w:val="24"/>
          <w:u w:val="none"/>
        </w:rPr>
        <w:t xml:space="preserve">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rPr>
        <w:t xml:space="preserve">（北京时间）</w:t>
      </w:r>
      <w:r>
        <w:rPr>
          <w:rFonts w:hint="eastAsia" w:ascii="宋体" w:hAnsi="宋体"/>
          <w:bCs/>
          <w:color w:val="000000" w:themeColor="text1"/>
          <w:sz w:val="24"/>
          <w:szCs w:val="24"/>
          <w:lang w:val="en-US" w:eastAsia="zh-CN"/>
        </w:rPr>
        <w:t xml:space="preserve">。</w:t>
      </w:r>
      <w:r>
        <w:rPr>
          <w:color w:val="000000" w:themeColor="text1"/>
        </w:rPr>
      </w:r>
      <w:r/>
    </w:p>
    <w:p>
      <w:pPr>
        <w:pStyle w:val="869"/>
        <w:ind w:firstLine="480"/>
        <w:pageBreakBefore w:val="0"/>
        <w:spacing w:line="252" w:lineRule="auto"/>
        <w:widowControl w:val="off"/>
        <w:rPr>
          <w:rFonts w:hint="eastAsia" w:ascii="宋体" w:hAnsi="宋体"/>
          <w:bCs/>
          <w:color w:val="000000" w:themeColor="text1"/>
          <w:sz w:val="24"/>
          <w:szCs w:val="24"/>
          <w:u w:val="single"/>
        </w:rPr>
      </w:pPr>
      <w:r>
        <w:rPr>
          <w:rFonts w:hint="eastAsia" w:ascii="宋体" w:hAnsi="宋体"/>
          <w:color w:val="000000" w:themeColor="text1"/>
          <w:sz w:val="24"/>
          <w:szCs w:val="24"/>
        </w:rPr>
        <w:t xml:space="preserve">2.地点</w:t>
      </w:r>
      <w:r>
        <w:rPr>
          <w:rFonts w:hint="eastAsia" w:ascii="宋体" w:hAnsi="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江苏省</w:t>
      </w:r>
      <w:r>
        <w:rPr>
          <w:rFonts w:hint="eastAsia" w:ascii="宋体" w:hAnsi="宋体" w:eastAsia="宋体" w:cs="宋体"/>
          <w:color w:val="000000" w:themeColor="text1"/>
          <w:sz w:val="24"/>
          <w:szCs w:val="24"/>
        </w:rPr>
        <w:t xml:space="preserve">政府采购交易系统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lang w:val="en-US" w:eastAsia="zh-CN"/>
        </w:rPr>
        <w:t xml:space="preserve">以下简称“苏采云系统”</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网上开标大厅。</w:t>
      </w:r>
      <w:r>
        <w:rPr>
          <w:color w:val="000000" w:themeColor="text1"/>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869"/>
        <w:ind w:firstLine="480"/>
        <w:pageBreakBefore w:val="0"/>
        <w:spacing w:line="252" w:lineRule="auto"/>
        <w:widowControl w:val="off"/>
        <w:rPr>
          <w:rFonts w:ascii="宋体" w:hAnsi="宋体" w:cs="宋体"/>
          <w:color w:val="000000" w:themeColor="text1"/>
          <w:sz w:val="24"/>
          <w:szCs w:val="24"/>
        </w:rPr>
      </w:pPr>
      <w:r>
        <w:rPr>
          <w:color w:val="000000" w:themeColor="text1"/>
        </w:rPr>
      </w:r>
      <w:bookmarkStart w:id="32" w:name="_Toc35393795"/>
      <w:r>
        <w:rPr>
          <w:color w:val="000000" w:themeColor="text1"/>
        </w:rPr>
      </w:r>
      <w:bookmarkStart w:id="33" w:name="_Toc38985268"/>
      <w:r>
        <w:rPr>
          <w:color w:val="000000" w:themeColor="text1"/>
        </w:rPr>
      </w:r>
      <w:bookmarkStart w:id="34" w:name="_Toc35393626"/>
      <w:r>
        <w:rPr>
          <w:rFonts w:hint="eastAsia" w:ascii="宋体" w:hAnsi="宋体" w:cs="宋体"/>
          <w:color w:val="000000" w:themeColor="text1"/>
          <w:sz w:val="24"/>
          <w:szCs w:val="24"/>
        </w:rPr>
        <w:t xml:space="preserve">公告期限为自本公告发布之日起5个工作日。</w:t>
      </w:r>
      <w:r>
        <w:rPr>
          <w:color w:val="000000" w:themeColor="text1"/>
        </w:rPr>
      </w:r>
      <w:r/>
    </w:p>
    <w:p>
      <w:pPr>
        <w:pStyle w:val="872"/>
        <w:ind w:firstLine="498"/>
        <w:pageBreakBefore w:val="0"/>
        <w:spacing w:before="145" w:after="145" w:line="252" w:lineRule="auto"/>
        <w:widowControl w:val="off"/>
        <w:rPr>
          <w:rFonts w:hint="eastAsia" w:ascii="Times New Roman" w:hAnsi="Times New Roman" w:eastAsia="宋体" w:cs="Times New Roman"/>
          <w:b/>
          <w:bCs/>
          <w:color w:val="000000" w:themeColor="text1"/>
        </w:rPr>
      </w:pPr>
      <w:r>
        <w:rPr>
          <w:rFonts w:hint="eastAsia" w:ascii="Times New Roman" w:hAnsi="Times New Roman" w:eastAsia="宋体" w:cs="Times New Roman"/>
          <w:b/>
          <w:bCs/>
          <w:color w:val="000000" w:themeColor="text1"/>
        </w:rPr>
        <w:t xml:space="preserve">六、其他事宜</w:t>
      </w:r>
      <w:bookmarkEnd w:id="32"/>
      <w:r>
        <w:rPr>
          <w:color w:val="000000" w:themeColor="text1"/>
        </w:rPr>
      </w:r>
      <w:bookmarkEnd w:id="33"/>
      <w:r>
        <w:rPr>
          <w:color w:val="000000" w:themeColor="text1"/>
        </w:rPr>
      </w:r>
      <w:bookmarkEnd w:id="34"/>
      <w:r>
        <w:rPr>
          <w:color w:val="000000" w:themeColor="text1"/>
        </w:rPr>
      </w:r>
      <w:r/>
    </w:p>
    <w:p>
      <w:pPr>
        <w:pStyle w:val="869"/>
        <w:ind w:firstLine="480"/>
        <w:pageBreakBefore w:val="0"/>
        <w:spacing w:line="252" w:lineRule="auto"/>
        <w:widowControl w:val="off"/>
        <w:tabs>
          <w:tab w:val="left" w:pos="900" w:leader="none"/>
        </w:tabs>
        <w:rPr>
          <w:rFonts w:hint="eastAsia" w:ascii="宋体" w:hAnsi="宋体"/>
          <w:bCs/>
          <w:color w:val="000000" w:themeColor="text1"/>
          <w:sz w:val="24"/>
          <w:szCs w:val="24"/>
        </w:rPr>
      </w:pPr>
      <w:r>
        <w:rPr>
          <w:color w:val="000000" w:themeColor="text1"/>
        </w:rPr>
      </w:r>
      <w:bookmarkStart w:id="35" w:name="_Toc28359085"/>
      <w:r>
        <w:rPr>
          <w:color w:val="000000" w:themeColor="text1"/>
        </w:rPr>
      </w:r>
      <w:bookmarkStart w:id="36" w:name="_Toc35393627"/>
      <w:r>
        <w:rPr>
          <w:color w:val="000000" w:themeColor="text1"/>
        </w:rPr>
      </w:r>
      <w:bookmarkStart w:id="37" w:name="_Toc35393796"/>
      <w:r>
        <w:rPr>
          <w:color w:val="000000" w:themeColor="text1"/>
        </w:rPr>
      </w:r>
      <w:bookmarkStart w:id="38" w:name="_Toc38985269"/>
      <w:r>
        <w:rPr>
          <w:color w:val="000000" w:themeColor="text1"/>
        </w:rPr>
      </w:r>
      <w:bookmarkStart w:id="39" w:name="_Toc28359008"/>
      <w:r>
        <w:rPr>
          <w:rFonts w:hint="eastAsia" w:ascii="宋体" w:hAnsi="宋体" w:eastAsia="宋体" w:cs="宋体"/>
          <w:color w:val="000000" w:themeColor="text1"/>
          <w:sz w:val="24"/>
          <w:szCs w:val="24"/>
        </w:rPr>
        <w:t xml:space="preserve">1.</w:t>
      </w:r>
      <w:r>
        <w:rPr>
          <w:rFonts w:hint="eastAsia" w:ascii="宋体" w:hAnsi="宋体"/>
          <w:bCs/>
          <w:color w:val="000000" w:themeColor="text1"/>
          <w:sz w:val="24"/>
          <w:szCs w:val="24"/>
        </w:rPr>
        <w:t xml:space="preserve">本次招标不收取投标保证金。</w:t>
      </w:r>
      <w:r>
        <w:rPr>
          <w:color w:val="000000" w:themeColor="text1"/>
        </w:rPr>
      </w:r>
      <w:r/>
    </w:p>
    <w:p>
      <w:pPr>
        <w:pStyle w:val="869"/>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themeColor="text1"/>
          <w:sz w:val="24"/>
          <w:szCs w:val="24"/>
        </w:rPr>
        <w:t xml:space="preserve">2.</w:t>
      </w:r>
      <w:r>
        <w:rPr>
          <w:rFonts w:hint="eastAsia" w:ascii="宋体" w:hAnsi="宋体" w:eastAsia="宋体" w:cs="宋体"/>
          <w:color w:val="000000" w:themeColor="text1"/>
          <w:sz w:val="24"/>
          <w:szCs w:val="24"/>
          <w:highlight w:val="none"/>
          <w:lang w:val="en-US" w:eastAsia="zh-CN"/>
        </w:rPr>
        <w:t xml:space="preserve">本项目组织</w:t>
      </w:r>
      <w:r>
        <w:rPr>
          <w:rFonts w:hint="eastAsia" w:ascii="宋体" w:hAnsi="宋体" w:eastAsia="宋体" w:cs="宋体"/>
          <w:color w:val="000000" w:themeColor="text1"/>
          <w:sz w:val="24"/>
          <w:szCs w:val="24"/>
          <w:highlight w:val="none"/>
          <w:lang w:eastAsia="zh-CN"/>
        </w:rPr>
        <w:t xml:space="preserve">勘察及答疑，</w:t>
      </w:r>
      <w:r>
        <w:rPr>
          <w:rFonts w:hint="eastAsia" w:ascii="宋体" w:hAnsi="宋体" w:eastAsia="宋体" w:cs="宋体"/>
          <w:color w:val="000000" w:themeColor="text1"/>
          <w:sz w:val="24"/>
          <w:szCs w:val="24"/>
          <w:highlight w:val="none"/>
          <w:lang w:val="en-US" w:eastAsia="zh-CN"/>
        </w:rPr>
        <w:t xml:space="preserve">供应商代表携带加盖单位公章的营业执照复印件、法定代表人授权委托书、身份证参加。</w:t>
      </w:r>
      <w:r>
        <w:rPr>
          <w:rFonts w:hint="eastAsia" w:ascii="宋体" w:hAnsi="宋体" w:eastAsia="宋体" w:cs="宋体"/>
          <w:color w:val="000000" w:themeColor="text1"/>
          <w:sz w:val="24"/>
          <w:szCs w:val="24"/>
          <w:highlight w:val="none"/>
          <w:lang w:val="en-US" w:eastAsia="zh-CN"/>
        </w:rPr>
        <w:t xml:space="preserve">签到时间：</w:t>
      </w:r>
      <w:r>
        <w:rPr>
          <w:rFonts w:hint="eastAsia" w:ascii="宋体" w:hAnsi="宋体" w:eastAsia="宋体" w:cs="宋体"/>
          <w:color w:val="000000" w:themeColor="text1"/>
          <w:sz w:val="24"/>
          <w:szCs w:val="24"/>
          <w:highlight w:val="none"/>
          <w:u w:val="none"/>
          <w:lang w:val="en-US" w:eastAsia="zh-CN"/>
        </w:rPr>
        <w:t xml:space="preserve">2026年6月12日9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40</w:t>
      </w:r>
      <w:r>
        <w:rPr>
          <w:rFonts w:hint="eastAsia" w:ascii="宋体" w:hAnsi="宋体"/>
          <w:bCs/>
          <w:color w:val="000000" w:themeColor="text1"/>
          <w:sz w:val="24"/>
          <w:szCs w:val="24"/>
          <w:u w:val="none"/>
        </w:rPr>
        <w:t xml:space="preserve">分</w:t>
      </w:r>
      <w:r>
        <w:rPr>
          <w:rFonts w:hint="eastAsia" w:ascii="宋体" w:hAnsi="宋体"/>
          <w:bCs/>
          <w:color w:val="000000" w:themeColor="text1"/>
          <w:sz w:val="24"/>
          <w:szCs w:val="24"/>
          <w:u w:val="none"/>
          <w:lang w:eastAsia="zh-CN"/>
        </w:rPr>
        <w:t xml:space="preserve">至</w:t>
      </w:r>
      <w:r>
        <w:rPr>
          <w:rFonts w:hint="eastAsia" w:ascii="宋体" w:hAnsi="宋体" w:eastAsia="宋体" w:cs="宋体"/>
          <w:color w:val="000000" w:themeColor="text1"/>
          <w:sz w:val="24"/>
          <w:szCs w:val="24"/>
          <w:highlight w:val="none"/>
          <w:u w:val="none"/>
          <w:lang w:val="en-US" w:eastAsia="zh-CN"/>
        </w:rPr>
        <w:t xml:space="preserve">10</w:t>
      </w:r>
      <w:r>
        <w:rPr>
          <w:rFonts w:hint="eastAsia" w:ascii="Times New Roman" w:hAnsi="Times New Roman" w:eastAsia="宋体" w:cs="Times New Roman"/>
          <w:bCs/>
          <w:color w:val="000000" w:themeColor="text1"/>
          <w:sz w:val="24"/>
          <w:szCs w:val="24"/>
          <w:u w:val="none"/>
          <w:lang w:val="en-US" w:eastAsia="zh-CN"/>
        </w:rPr>
        <w:t xml:space="preserve">时00</w:t>
      </w:r>
      <w:r>
        <w:rPr>
          <w:rFonts w:hint="eastAsia" w:ascii="宋体" w:hAnsi="宋体"/>
          <w:bCs/>
          <w:color w:val="000000" w:themeColor="text1"/>
          <w:sz w:val="24"/>
          <w:szCs w:val="24"/>
          <w:u w:val="none"/>
        </w:rPr>
        <w:t xml:space="preserve">分</w:t>
      </w:r>
      <w:r>
        <w:rPr>
          <w:rFonts w:hint="eastAsia" w:ascii="宋体" w:hAnsi="宋体" w:eastAsia="宋体" w:cs="宋体"/>
          <w:color w:val="000000" w:themeColor="text1"/>
          <w:sz w:val="24"/>
          <w:szCs w:val="24"/>
          <w:highlight w:val="none"/>
          <w:u w:val="none"/>
          <w:lang w:val="en-US" w:eastAsia="zh-CN"/>
        </w:rPr>
        <w:t xml:space="preserve">，</w:t>
      </w:r>
      <w:r>
        <w:rPr>
          <w:rFonts w:hint="eastAsia" w:ascii="宋体" w:hAnsi="宋体" w:eastAsia="宋体" w:cs="宋体"/>
          <w:color w:val="000000" w:themeColor="text1"/>
          <w:sz w:val="24"/>
          <w:szCs w:val="24"/>
          <w:highlight w:val="none"/>
          <w:u w:val="none"/>
          <w:lang w:val="en-US" w:eastAsia="zh-CN"/>
        </w:rPr>
        <w:t xml:space="preserve">地</w:t>
      </w:r>
      <w:r>
        <w:rPr>
          <w:rFonts w:hint="eastAsia" w:ascii="宋体" w:hAnsi="宋体" w:eastAsia="宋体" w:cs="宋体"/>
          <w:color w:val="000000"/>
          <w:sz w:val="24"/>
          <w:szCs w:val="24"/>
          <w:highlight w:val="none"/>
          <w:u w:val="none"/>
          <w:lang w:val="en-US" w:eastAsia="zh-CN"/>
        </w:rPr>
        <w:t xml:space="preserve">址：南京玄武区市长江路123号江宁织造博物馆，联系人：刘乾，联系电话：18066059971</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rPr>
          <w:rFonts w:hint="eastAsia" w:ascii="宋体" w:hAnsi="宋体" w:eastAsia="宋体" w:cs="宋体"/>
          <w:sz w:val="24"/>
          <w:szCs w:val="24"/>
          <w:highlight w:val="none"/>
          <w:lang w:eastAsia="zh-CN"/>
        </w:rPr>
      </w:r>
      <w:r/>
    </w:p>
    <w:p>
      <w:pPr>
        <w:pStyle w:val="869"/>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lang w:val="en-US" w:eastAsia="zh-CN"/>
        </w:rPr>
        <w:t xml:space="preserve">刘乾</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lang w:val="en-US" w:eastAsia="zh-CN"/>
        </w:rPr>
        <w:t xml:space="preserve">南京市玄武区长江路123号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lang w:val="en-US" w:eastAsia="zh-CN"/>
        </w:rPr>
        <w:t xml:space="preserve">18066059971</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spacing w:line="252" w:lineRule="auto"/>
        <w:rPr>
          <w:rFonts w:hint="eastAsia" w:ascii="宋体" w:hAnsi="宋体" w:eastAsia="宋体" w:cs="Times New Roman"/>
          <w:sz w:val="24"/>
          <w:szCs w:val="24"/>
        </w:rPr>
      </w:pPr>
      <w:r>
        <w:rPr>
          <w:rFonts w:hint="eastAsia" w:ascii="宋体" w:hAnsi="宋体"/>
          <w:sz w:val="24"/>
          <w:szCs w:val="24"/>
        </w:rPr>
        <w:t xml:space="preserve">名  称：</w:t>
      </w:r>
      <w:r>
        <w:rPr>
          <w:rFonts w:hint="eastAsia" w:ascii="宋体" w:hAnsi="宋体" w:eastAsia="宋体" w:cs="Times New Roman"/>
          <w:sz w:val="24"/>
          <w:szCs w:val="24"/>
          <w:lang w:val="en-US" w:eastAsia="zh-CN"/>
        </w:rPr>
        <w:t xml:space="preserve">南京市博物总馆（江宁织造博物馆）</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南京市玄武区长江路123号</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lang w:val="en-US" w:eastAsia="zh-CN"/>
        </w:rPr>
        <w:t xml:space="preserve">刘乾</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69"/>
        <w:ind w:firstLine="480"/>
        <w:spacing w:line="252" w:lineRule="auto"/>
        <w:rPr>
          <w:rFonts w:hint="eastAsia" w:ascii="宋体" w:hAnsi="宋体" w:eastAsia="宋体" w:cs="Times New Roman"/>
          <w:sz w:val="24"/>
          <w:szCs w:val="24"/>
        </w:rPr>
      </w:pPr>
      <w:r>
        <w:rPr>
          <w:rFonts w:hint="eastAsia" w:ascii="宋体" w:hAnsi="宋体" w:eastAsia="宋体" w:cs="Times New Roman"/>
          <w:sz w:val="24"/>
          <w:szCs w:val="24"/>
        </w:rPr>
        <w:t xml:space="preserve">联系电话：</w:t>
      </w:r>
      <w:r>
        <w:rPr>
          <w:rFonts w:hint="eastAsia" w:ascii="宋体" w:hAnsi="宋体" w:eastAsia="宋体" w:cs="Times New Roman"/>
          <w:sz w:val="24"/>
          <w:szCs w:val="24"/>
          <w:lang w:val="en-US" w:eastAsia="zh-CN"/>
        </w:rPr>
        <w:t xml:space="preserve">18066059971</w:t>
      </w:r>
      <w:r>
        <w:rPr>
          <w:rFonts w:hint="eastAsia" w:ascii="宋体" w:hAnsi="宋体" w:eastAsia="宋体" w:cs="Times New Roman"/>
          <w:sz w:val="24"/>
          <w:szCs w:val="24"/>
        </w:rPr>
        <w:t xml:space="preserve"> </w:t>
      </w:r>
      <w:bookmarkStart w:id="40" w:name="_Toc28359009"/>
      <w:r/>
      <w:bookmarkStart w:id="41" w:name="_Toc28359086"/>
      <w:r>
        <w:rPr>
          <w:rFonts w:hint="eastAsia" w:ascii="宋体" w:hAnsi="宋体" w:eastAsia="宋体" w:cs="Times New Roman"/>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right="0" w:firstLine="480"/>
        <w:jc w:val="both"/>
        <w:spacing w:line="252" w:lineRule="auto"/>
        <w:rPr>
          <w:rFonts w:hint="eastAsia" w:ascii="宋体" w:hAnsi="宋体" w:eastAsia="宋体" w:cs="Times New Roman"/>
          <w:color w:val="000000"/>
          <w:sz w:val="24"/>
          <w:szCs w:val="24"/>
          <w:u w:val="none"/>
          <w:lang w:val="en-US" w:eastAsia="zh-CN"/>
        </w:rPr>
        <w:outlineLvl w:val="9"/>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right="0" w:firstLine="480"/>
        <w:jc w:val="center"/>
        <w:spacing w:line="252" w:lineRule="auto"/>
        <w:rPr>
          <w:rFonts w:hint="eastAsia" w:ascii="Arial Unicode MS" w:hAnsi="Arial Unicode MS" w:eastAsia="Arial Unicode MS" w:cs="Arial Unicode MS"/>
          <w:color w:val="000000"/>
          <w:sz w:val="36"/>
          <w:szCs w:val="36"/>
        </w:rPr>
        <w:outlineLvl w:val="9"/>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Arial Unicode MS" w:hAnsi="Arial Unicode MS" w:eastAsia="Arial Unicode MS" w:cs="Arial Unicode MS"/>
          <w:color w:val="000000"/>
          <w:sz w:val="36"/>
          <w:szCs w:val="36"/>
        </w:rPr>
        <w:t xml:space="preserve">第二章  </w:t>
      </w:r>
      <w:bookmarkEnd w:id="42"/>
      <w:r/>
      <w:bookmarkStart w:id="43" w:name="_Toc20823274"/>
      <w:r/>
      <w:bookmarkStart w:id="44" w:name="_Toc16938518"/>
      <w:r/>
      <w:bookmarkStart w:id="45" w:name="_Toc120614213"/>
      <w:r/>
      <w:bookmarkStart w:id="46" w:name="_Toc513029202"/>
      <w:r>
        <w:rPr>
          <w:rFonts w:hint="eastAsia" w:ascii="Arial Unicode MS" w:hAnsi="Arial Unicode MS" w:eastAsia="Arial Unicode MS" w:cs="Arial Unicode MS"/>
          <w:color w:val="000000"/>
          <w:sz w:val="36"/>
          <w:szCs w:val="36"/>
        </w:rPr>
        <w:t xml:space="preserve">投标人须知</w:t>
      </w:r>
      <w:bookmarkEnd w:id="43"/>
      <w:r/>
      <w:bookmarkEnd w:id="44"/>
      <w:r/>
      <w:bookmarkEnd w:id="45"/>
      <w:r/>
      <w:bookmarkEnd w:id="46"/>
      <w:r>
        <w:rPr>
          <w:rFonts w:hint="eastAsia" w:ascii="Arial Unicode MS" w:hAnsi="Arial Unicode MS" w:eastAsia="Arial Unicode MS" w:cs="Arial Unicode MS"/>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6938519"/>
      <w:r/>
      <w:bookmarkStart w:id="48" w:name="_Toc20823275"/>
      <w:r/>
      <w:bookmarkStart w:id="49" w:name="_Toc513029203"/>
      <w:r/>
      <w:bookmarkStart w:id="50" w:name="_Toc120614214"/>
      <w:r/>
      <w:bookmarkStart w:id="51" w:name="_Toc16938558"/>
      <w:r/>
      <w:bookmarkStart w:id="52" w:name="_Toc479757207"/>
      <w:r/>
      <w:bookmarkStart w:id="53" w:name="_Toc120614221"/>
      <w:r/>
      <w:bookmarkStart w:id="54" w:name="_Toc20823314"/>
      <w:r/>
      <w:bookmarkStart w:id="55" w:name="_Toc513029242"/>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16938522"/>
      <w:r/>
      <w:bookmarkStart w:id="66"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513029209"/>
      <w:r/>
      <w:bookmarkStart w:id="72" w:name="_Toc120614215"/>
      <w:r/>
      <w:bookmarkStart w:id="73" w:name="_Toc20823281"/>
      <w:r/>
      <w:bookmarkStart w:id="74" w:name="_Toc16938525"/>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20823282"/>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513029212"/>
      <w:r/>
      <w:bookmarkStart w:id="83" w:name="_Toc20823284"/>
      <w:r/>
      <w:bookmarkStart w:id="84" w:name="_Toc462564071"/>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20614216"/>
      <w:r/>
      <w:bookmarkStart w:id="87" w:name="_Toc462564072"/>
      <w:r/>
      <w:bookmarkStart w:id="88" w:name="_Toc513029213"/>
      <w:r/>
      <w:bookmarkStart w:id="89" w:name="_Toc16938529"/>
      <w:r/>
      <w:bookmarkStart w:id="90" w:name="_Toc20823285"/>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513029214"/>
      <w:r/>
      <w:bookmarkStart w:id="92" w:name="_Toc462564073"/>
      <w:r/>
      <w:bookmarkStart w:id="93" w:name="_Toc20823286"/>
      <w:r/>
      <w:bookmarkStart w:id="94"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16938531"/>
      <w:r/>
      <w:bookmarkStart w:id="97" w:name="_Toc513029215"/>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Toc513029219"/>
      <w:r/>
      <w:bookmarkStart w:id="102" w:name="_Toc49090509"/>
      <w:r/>
      <w:bookmarkStart w:id="103" w:name="_Toc14577357"/>
      <w:r/>
      <w:bookmarkStart w:id="104" w:name="_Toc513029216"/>
      <w:r/>
      <w:bookmarkStart w:id="105" w:name="_Toc49090507"/>
      <w:r/>
      <w:bookmarkStart w:id="106" w:name="_Toc14577354"/>
      <w:r/>
      <w:bookmarkStart w:id="107" w:name="_Hlt26670360"/>
      <w:r/>
      <w:bookmarkEnd w:id="107"/>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4"/>
      <w:r/>
      <w:bookmarkEnd w:id="105"/>
      <w:r/>
      <w:bookmarkEnd w:id="106"/>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670425"/>
      <w:r/>
      <w:bookmarkEnd w:id="114"/>
      <w:r/>
      <w:bookmarkStart w:id="115" w:name="_Hlt26670486"/>
      <w:r/>
      <w:bookmarkEnd w:id="115"/>
      <w:r/>
      <w:bookmarkStart w:id="116" w:name="_Hlt26954842"/>
      <w:r/>
      <w:bookmarkEnd w:id="116"/>
      <w:r/>
      <w:bookmarkStart w:id="117" w:name="_Hlt26668983"/>
      <w:r/>
      <w:bookmarkEnd w:id="117"/>
      <w:r/>
      <w:bookmarkStart w:id="118" w:name="_Hlt26954846"/>
      <w:r/>
      <w:bookmarkEnd w:id="118"/>
      <w:r/>
      <w:bookmarkStart w:id="119" w:name="_Hlt26954731"/>
      <w:r/>
      <w:bookmarkEnd w:id="119"/>
      <w:r/>
      <w:bookmarkStart w:id="120" w:name="_Hlt26954848"/>
      <w:r/>
      <w:bookmarkEnd w:id="120"/>
      <w:r/>
      <w:bookmarkStart w:id="121" w:name="_Hlt26954844"/>
      <w:r/>
      <w:bookmarkEnd w:id="121"/>
      <w:r/>
      <w:bookmarkStart w:id="122" w:name="_Hlt2667048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20823296"/>
      <w:r/>
      <w:bookmarkStart w:id="133" w:name="_Toc16938540"/>
      <w:r/>
      <w:bookmarkStart w:id="134" w:name="_Toc120614217"/>
      <w:r/>
      <w:bookmarkStart w:id="135" w:name="_Toc513029224"/>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16938541"/>
      <w:r/>
      <w:bookmarkStart w:id="138" w:name="_Toc462564084"/>
      <w:r/>
      <w:bookmarkStart w:id="139"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16938543"/>
      <w:r/>
      <w:bookmarkStart w:id="145"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16938544"/>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20614218"/>
      <w:r/>
      <w:bookmarkStart w:id="152"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16938546"/>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20823306"/>
      <w:r/>
      <w:bookmarkStart w:id="166" w:name="_Toc16938550"/>
      <w:r/>
      <w:bookmarkStart w:id="167"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w:t>
      </w:r>
      <w:r>
        <w:rPr>
          <w:rFonts w:hint="eastAsia" w:ascii="宋体" w:hAnsi="宋体" w:eastAsia="宋体" w:cs="Times New Roman"/>
          <w:color w:val="000000"/>
          <w:sz w:val="24"/>
          <w:szCs w:val="22"/>
          <w:lang w:val="zh-CN"/>
        </w:rPr>
        <w:t xml:space="preserve">价平均值50%的，即投标报价&lt;全部通过符合性审查供应商投标报价平均值×50%；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（2）投标报价低于通过符合性审查的次低报价供应商投标报价50%的，即投标报价&lt;通过符合性审查的次低报价供应商投标报价×50%；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（3）投标报价低于采购项目最高限价45%的，即投标报价&lt;采购项目最高限价×45%；</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69" w:name="_Toc20823307"/>
      <w:r/>
      <w:bookmarkStart w:id="170" w:name="_Toc16938551"/>
      <w:r/>
      <w:bookmarkStart w:id="171" w:name="_Toc120614219"/>
      <w:r/>
      <w:bookmarkStart w:id="172"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9"/>
      <w:r/>
      <w:bookmarkEnd w:id="170"/>
      <w:r/>
      <w:bookmarkEnd w:id="172"/>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6"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7" w:name="_Toc120614220"/>
      <w:r/>
      <w:bookmarkStart w:id="178" w:name="_Toc16938552"/>
      <w:r/>
      <w:bookmarkStart w:id="179" w:name="_Toc20823308"/>
      <w:r/>
      <w:bookmarkStart w:id="180" w:name="_Toc513029236"/>
      <w:r>
        <w:rPr>
          <w:rFonts w:hint="eastAsia" w:ascii="方正黑体_GBK" w:hAnsi="方正黑体_GBK" w:eastAsia="方正黑体_GBK" w:cs="方正黑体_GBK"/>
          <w:b w:val="0"/>
          <w:bCs w:val="0"/>
          <w:color w:val="000000"/>
          <w:sz w:val="30"/>
          <w:szCs w:val="30"/>
        </w:rPr>
        <w:t xml:space="preserve">七、授予合同</w:t>
      </w:r>
      <w:bookmarkEnd w:id="177"/>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78"/>
      <w:r/>
      <w:bookmarkEnd w:id="179"/>
      <w:r/>
      <w:bookmarkEnd w:id="180"/>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rPr>
      </w:pPr>
      <w:r/>
      <w:bookmarkEnd w:id="181"/>
      <w:r/>
      <w:bookmarkEnd w:id="182"/>
      <w:r/>
      <w:bookmarkEnd w:id="183"/>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Arial Unicode MS" w:hAnsi="Arial Unicode MS" w:eastAsia="Arial Unicode MS" w:cs="Arial Unicode MS"/>
          <w:color w:val="000000"/>
          <w:sz w:val="36"/>
          <w:szCs w:val="36"/>
          <w:lang w:val="en-US"/>
        </w:rPr>
        <w:t xml:space="preserve">第三章  合同</w:t>
      </w:r>
      <w:bookmarkEnd w:id="51"/>
      <w:r/>
      <w:bookmarkEnd w:id="52"/>
      <w:r/>
      <w:bookmarkEnd w:id="53"/>
      <w:r/>
      <w:bookmarkEnd w:id="54"/>
      <w:r/>
      <w:bookmarkEnd w:id="55"/>
      <w:r>
        <w:rPr>
          <w:rFonts w:hint="eastAsia" w:ascii="Arial Unicode MS" w:hAnsi="Arial Unicode MS" w:eastAsia="Arial Unicode MS" w:cs="Arial Unicode MS"/>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16938559"/>
      <w:r/>
      <w:bookmarkStart w:id="186" w:name="_Toc513029243"/>
      <w:r/>
      <w:bookmarkStart w:id="187" w:name="_Hlt16619350"/>
      <w:r/>
      <w:bookmarkStart w:id="188" w:name="_Toc120614244"/>
      <w:r/>
      <w:bookmarkStart w:id="189" w:name="_Toc16938590"/>
      <w:r/>
      <w:bookmarkStart w:id="190" w:name="_Toc20823346"/>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color w:val="000000"/>
          <w:sz w:val="32"/>
          <w:szCs w:val="32"/>
        </w:rPr>
        <w:outlineLvl w:val="9"/>
      </w:pPr>
      <w:r>
        <w:rPr>
          <w:rFonts w:hint="eastAsia" w:ascii="Arial Unicode MS" w:hAnsi="Arial Unicode MS" w:eastAsia="Arial Unicode MS" w:cs="Arial Unicode MS"/>
          <w:b w:val="0"/>
          <w:bCs/>
          <w:color w:val="000000"/>
          <w:sz w:val="32"/>
          <w:szCs w:val="32"/>
        </w:rPr>
        <w:t xml:space="preserve">政府采购合同（货物）</w:t>
      </w:r>
      <w:r>
        <w:rPr>
          <w:rFonts w:hint="eastAsia" w:ascii="Arial Unicode MS" w:hAnsi="Arial Unicode MS" w:eastAsia="Arial Unicode MS" w:cs="Arial Unicode MS"/>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w:t>
      </w:r>
      <w:r>
        <w:rPr>
          <w:rFonts w:hint="eastAsia" w:ascii="宋体" w:hAnsi="宋体" w:eastAsia="宋体" w:cs="Courier New"/>
          <w:color w:val="000000"/>
          <w:sz w:val="24"/>
          <w:szCs w:val="24"/>
        </w:rPr>
        <w:t xml:space="preserve">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供货结束并验收合格后，甲方支付合同总价款的40%。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w:t>
      </w:r>
      <w:r>
        <w:rPr>
          <w:rFonts w:hint="eastAsia" w:ascii="宋体" w:hAnsi="宋体" w:eastAsia="宋体" w:cs="Courier New"/>
          <w:color w:val="000000"/>
          <w:sz w:val="24"/>
          <w:szCs w:val="24"/>
          <w:highlight w:val="none"/>
          <w:lang w:val="en-US" w:eastAsia="zh-CN"/>
        </w:rPr>
        <w:t xml:space="preserve">安装完成，经南京市特种设备安全监督检验研究院验收合格，履约期内经审计后，支付至审定价的100%</w:t>
      </w:r>
      <w:r>
        <w:rPr>
          <w:rFonts w:hint="eastAsia" w:ascii="宋体" w:hAnsi="宋体" w:eastAsia="宋体" w:cs="Courier New"/>
          <w:color w:val="000000"/>
          <w:sz w:val="24"/>
          <w:szCs w:val="24"/>
          <w:highlight w:val="none"/>
          <w:lang w:val="en-US" w:eastAsia="zh-CN"/>
        </w:rPr>
        <w:t xml:space="preserve">。</w:t>
      </w:r>
      <w:r>
        <w:rPr>
          <w:rFonts w:ascii="宋体" w:hAnsi="宋体" w:eastAsia="宋体" w:cs="Courier New"/>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8.1.4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0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3</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bookmarkEnd w:id="184"/>
      <w:r/>
      <w:bookmarkEnd w:id="185"/>
      <w:r/>
      <w:bookmarkEnd w:id="186"/>
      <w:r/>
      <w:bookmarkStart w:id="193" w:name="_Hlt16619369"/>
      <w:r/>
      <w:bookmarkEnd w:id="193"/>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Arial Unicode MS" w:hAnsi="Arial Unicode MS" w:eastAsia="Arial Unicode MS" w:cs="Arial Unicode MS"/>
          <w:b w:val="0"/>
          <w:bCs/>
          <w:sz w:val="32"/>
          <w:szCs w:val="32"/>
          <w:highlight w:val="none"/>
        </w:rPr>
        <w:outlineLvl w:val="9"/>
      </w:pPr>
      <w:r>
        <w:rPr>
          <w:rFonts w:hint="eastAsia" w:ascii="Arial Unicode MS" w:hAnsi="Arial Unicode MS" w:eastAsia="Arial Unicode MS" w:cs="Arial Unicode MS"/>
          <w:b w:val="0"/>
          <w:bCs/>
          <w:sz w:val="32"/>
          <w:szCs w:val="32"/>
          <w:highlight w:val="none"/>
        </w:rPr>
      </w:r>
      <w:r/>
    </w:p>
    <w:p>
      <w:pPr>
        <w:pStyle w:val="869"/>
        <w:jc w:val="center"/>
        <w:keepLines w:val="0"/>
        <w:keepNext w:val="0"/>
        <w:pageBreakBefore w:val="0"/>
        <w:spacing w:before="145" w:after="145" w:line="264" w:lineRule="auto"/>
        <w:widowControl w:val="off"/>
        <w:rPr>
          <w:rFonts w:hint="eastAsia" w:ascii="Arial Unicode MS" w:hAnsi="Arial Unicode MS" w:eastAsia="Arial Unicode MS" w:cs="Arial Unicode MS"/>
          <w:b w:val="0"/>
          <w:bCs/>
          <w:sz w:val="32"/>
          <w:szCs w:val="32"/>
          <w:highlight w:val="none"/>
        </w:rPr>
        <w:outlineLvl w:val="1"/>
      </w:pPr>
      <w:r>
        <w:rPr>
          <w:rFonts w:hint="eastAsia" w:ascii="Arial Unicode MS" w:hAnsi="Arial Unicode MS" w:eastAsia="Arial Unicode MS" w:cs="Arial Unicode MS"/>
          <w:b w:val="0"/>
          <w:bCs/>
          <w:sz w:val="32"/>
          <w:szCs w:val="32"/>
          <w:highlight w:val="none"/>
        </w:rPr>
        <w:t xml:space="preserve">《*******合同》补充协议（合同附件）</w:t>
      </w:r>
      <w:r>
        <w:rPr>
          <w:rFonts w:hint="eastAsia" w:ascii="Arial Unicode MS" w:hAnsi="Arial Unicode MS" w:eastAsia="Arial Unicode MS" w:cs="Arial Unicode MS"/>
          <w:b w:val="0"/>
          <w:bCs/>
          <w:sz w:val="32"/>
          <w:szCs w:val="32"/>
          <w:highlight w:val="none"/>
        </w:rPr>
      </w:r>
      <w:r/>
    </w:p>
    <w:p>
      <w:pPr>
        <w:pStyle w:val="90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Arial Unicode MS" w:hAnsi="Arial Unicode MS" w:eastAsia="Arial Unicode MS" w:cs="Arial Unicode MS"/>
          <w:color w:val="000000"/>
          <w:sz w:val="36"/>
          <w:szCs w:val="36"/>
        </w:rPr>
        <w:outlineLvl w:val="0"/>
      </w:pPr>
      <w:r>
        <w:rPr>
          <w:rFonts w:ascii="黑体" w:hAnsi="Courier New" w:eastAsia="黑体" w:cs="Courier New"/>
          <w:bCs/>
          <w:color w:val="000000"/>
          <w:sz w:val="44"/>
          <w:szCs w:val="21"/>
        </w:rPr>
        <w:br w:type="page" w:clear="all"/>
      </w:r>
      <w:r>
        <w:rPr>
          <w:rFonts w:hint="eastAsia" w:ascii="Arial Unicode MS" w:hAnsi="Arial Unicode MS" w:eastAsia="Arial Unicode MS" w:cs="Arial Unicode MS"/>
          <w:color w:val="000000"/>
          <w:sz w:val="36"/>
          <w:szCs w:val="36"/>
        </w:rPr>
        <w:t xml:space="preserve">第</w:t>
      </w:r>
      <w:bookmarkEnd w:id="187"/>
      <w:r>
        <w:rPr>
          <w:rFonts w:hint="eastAsia" w:ascii="Arial Unicode MS" w:hAnsi="Arial Unicode MS" w:eastAsia="Arial Unicode MS" w:cs="Arial Unicode MS"/>
          <w:color w:val="000000"/>
          <w:sz w:val="36"/>
          <w:szCs w:val="36"/>
        </w:rPr>
        <w:t xml:space="preserve">四章</w:t>
      </w:r>
      <w:r>
        <w:rPr>
          <w:rFonts w:hint="eastAsia" w:ascii="Arial Unicode MS" w:hAnsi="Arial Unicode MS" w:eastAsia="Arial Unicode MS" w:cs="Arial Unicode MS"/>
          <w:color w:val="000000"/>
          <w:sz w:val="36"/>
          <w:szCs w:val="36"/>
          <w:lang w:val="en-US" w:eastAsia="zh-CN"/>
        </w:rPr>
        <w:t xml:space="preserve">  </w:t>
      </w:r>
      <w:r>
        <w:rPr>
          <w:rFonts w:hint="eastAsia" w:ascii="Arial Unicode MS" w:hAnsi="Arial Unicode MS" w:eastAsia="Arial Unicode MS" w:cs="Arial Unicode MS"/>
          <w:color w:val="000000"/>
          <w:sz w:val="36"/>
          <w:szCs w:val="36"/>
        </w:rPr>
        <w:t xml:space="preserve">采购需求</w:t>
      </w:r>
      <w:bookmarkEnd w:id="188"/>
      <w:r/>
      <w:bookmarkEnd w:id="189"/>
      <w:r/>
      <w:bookmarkEnd w:id="190"/>
      <w:r>
        <w:rPr>
          <w:rFonts w:hint="eastAsia" w:ascii="Arial Unicode MS" w:hAnsi="Arial Unicode MS" w:eastAsia="Arial Unicode MS" w:cs="Arial Unicode MS"/>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49090575"/>
      <w:r/>
      <w:bookmarkStart w:id="195"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88" w:lineRule="auto"/>
        <w:widowControl w:val="off"/>
        <w:rPr>
          <w:rFonts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zh-CN" w:eastAsia="zh-CN" w:bidi="ar-SA"/>
        </w:rPr>
        <w:t xml:space="preserve">本项目</w:t>
      </w:r>
      <w:r>
        <w:rPr>
          <w:rFonts w:hint="eastAsia" w:ascii="宋体" w:hAnsi="宋体" w:eastAsia="宋体" w:cs="Times New Roman"/>
          <w:color w:val="000000"/>
          <w:sz w:val="24"/>
          <w:szCs w:val="24"/>
          <w:lang w:val="en-US" w:eastAsia="zh-CN" w:bidi="ar-SA"/>
        </w:rPr>
        <w:t xml:space="preserve">为</w:t>
      </w:r>
      <w:r>
        <w:rPr>
          <w:rFonts w:hint="eastAsia" w:ascii="宋体" w:hAnsi="宋体" w:eastAsia="宋体" w:cs="Times New Roman"/>
          <w:color w:val="000000"/>
          <w:sz w:val="24"/>
          <w:szCs w:val="24"/>
          <w:lang w:val="zh-CN" w:eastAsia="zh-CN" w:bidi="ar-SA"/>
        </w:rPr>
        <w:t xml:space="preserve">江宁织造博物馆馆内两部客梯采购。包括</w:t>
      </w:r>
      <w:r>
        <w:rPr>
          <w:rFonts w:hint="eastAsia" w:ascii="宋体" w:hAnsi="宋体" w:eastAsia="宋体" w:cs="Times New Roman"/>
          <w:color w:val="000000"/>
          <w:sz w:val="24"/>
          <w:szCs w:val="24"/>
          <w:lang w:val="en-US" w:eastAsia="zh-CN" w:bidi="ar-SA"/>
        </w:rPr>
        <w:t xml:space="preserve">需配合采购人完成旧梯拆除后的资产报废工作。</w:t>
      </w:r>
      <w:r>
        <w:rPr>
          <w:rFonts w:ascii="宋体" w:hAnsi="宋体" w:eastAsia="宋体" w:cs="Times New Roman"/>
          <w:color w:val="0000ff"/>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法律法规</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本项目须严格遵守《中华人民共和国特种设备安全法》《特种设备安全监察条例》《中华人民共和国产品质量法》《中华人民共和国安全生产法》《江苏省特种设备安全条例》《南京市电梯安全条例》。</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主要技术标准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本项目涉及旧梯拆除及新梯采购安装，所有工作应遵循但不限于下列国家、行业及地方现行标准：《电梯制造与安装安全规范》</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GB/T7588</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《电梯技术条件》</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GB/T 10058</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《电梯试验方法》</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GB/T 10059</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《电梯安装验收规范》</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GB/T 10060</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《电梯工程施工质量验收规范》</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GB50310</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《电梯监督检验和定期检验规则》</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TSG T7001</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《电梯自行检测规则》</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TSGT7008</w:t>
      </w:r>
      <w:r>
        <w:rPr>
          <w:rFonts w:hint="eastAsia" w:ascii="宋体" w:hAnsi="宋体" w:cs="宋体"/>
          <w:bCs/>
          <w:color w:val="000000"/>
          <w:sz w:val="24"/>
          <w:szCs w:val="24"/>
          <w:lang w:eastAsia="zh-CN"/>
        </w:rPr>
        <w:t xml:space="preserve">）及</w:t>
      </w:r>
      <w:r>
        <w:rPr>
          <w:rFonts w:hint="eastAsia" w:ascii="宋体" w:hAnsi="宋体" w:eastAsia="宋体" w:cs="宋体"/>
          <w:bCs/>
          <w:color w:val="000000"/>
          <w:sz w:val="24"/>
          <w:szCs w:val="24"/>
          <w:lang w:eastAsia="zh-CN"/>
        </w:rPr>
        <w:t xml:space="preserve">现行电梯拆除施工安全及移除相关规范</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eastAsia="zh-CN"/>
        </w:rPr>
        <w:t xml:space="preserve">同时，应符合博物馆建筑设计、无障碍设计及消防安全等相关规范要求。</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现场管理要求</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施工期间须遵守江宁织造博物馆关于文物保护、观众通行、消防安全及日常运营管理的各项规定，确保施工不对博物馆正常开放和文物安全造成影响。</w:t>
      </w:r>
      <w:r>
        <w:rPr>
          <w:rFonts w:hint="eastAsia" w:ascii="宋体" w:hAnsi="宋体" w:eastAsia="宋体" w:cs="宋体"/>
          <w:bCs/>
          <w:color w:val="000000"/>
          <w:sz w:val="24"/>
          <w:szCs w:val="24"/>
          <w:lang w:eastAsia="zh-CN"/>
        </w:rPr>
      </w:r>
      <w:r/>
    </w:p>
    <w:p>
      <w:pPr>
        <w:pStyle w:val="869"/>
        <w:ind w:firstLine="480"/>
        <w:spacing w:line="288" w:lineRule="auto"/>
        <w:rPr>
          <w:rFonts w:hint="eastAsia" w:ascii="宋体" w:hAnsi="宋体" w:eastAsia="宋体" w:cs="Times New Roman"/>
          <w:bCs w:val="0"/>
          <w:color w:val="000000"/>
          <w:sz w:val="24"/>
          <w:szCs w:val="24"/>
          <w:lang w:val="en-US" w:eastAsia="zh-CN"/>
        </w:rPr>
      </w:pPr>
      <w:r>
        <w:rPr>
          <w:rFonts w:hint="eastAsia" w:ascii="宋体" w:hAnsi="宋体" w:eastAsia="宋体" w:cs="Times New Roman"/>
          <w:bCs w:val="0"/>
          <w:color w:val="000000"/>
          <w:sz w:val="24"/>
          <w:szCs w:val="24"/>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sz w:val="24"/>
          <w:szCs w:val="24"/>
          <w:lang w:eastAsia="zh-CN"/>
        </w:rPr>
      </w:r>
      <w:r/>
    </w:p>
    <w:tbl>
      <w:tblPr>
        <w:tblStyle w:val="985"/>
        <w:tblW w:w="502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1952"/>
        <w:gridCol w:w="728"/>
        <w:gridCol w:w="696"/>
        <w:gridCol w:w="1059"/>
        <w:gridCol w:w="1199"/>
        <w:gridCol w:w="1034"/>
        <w:gridCol w:w="1203"/>
        <w:gridCol w:w="1281"/>
      </w:tblGrid>
      <w:tr>
        <w:trPr>
          <w:trHeight w:val="470"/>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分项</w:t>
            </w:r>
            <w:r>
              <w:rPr>
                <w:rFonts w:hint="eastAsia" w:ascii="宋体" w:hAnsi="宋体" w:eastAsia="宋体" w:cs="宋体"/>
                <w:bCs/>
                <w:sz w:val="24"/>
                <w:szCs w:val="24"/>
              </w:rPr>
              <w:t xml:space="preserve">名称</w:t>
            </w:r>
            <w:r>
              <w:rPr>
                <w:rFonts w:hint="eastAsia" w:ascii="宋体" w:hAnsi="宋体" w:eastAsia="宋体" w:cs="宋体"/>
                <w:bCs/>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数量</w:t>
            </w:r>
            <w:r>
              <w:rPr>
                <w:rFonts w:hint="eastAsia" w:ascii="宋体" w:hAnsi="宋体" w:eastAsia="宋体" w:cs="宋体"/>
                <w:bCs/>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单位</w:t>
            </w:r>
            <w:r>
              <w:rPr>
                <w:rFonts w:hint="eastAsia" w:ascii="宋体" w:hAnsi="宋体" w:eastAsia="宋体" w:cs="宋体"/>
                <w:bCs/>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单价上限</w:t>
            </w:r>
            <w:r>
              <w:rPr>
                <w:rFonts w:hint="eastAsia" w:ascii="宋体" w:hAnsi="宋体" w:eastAsia="宋体" w:cs="宋体"/>
                <w:bCs/>
                <w:sz w:val="24"/>
                <w:szCs w:val="24"/>
                <w:lang w:eastAsia="zh-CN"/>
              </w:rPr>
            </w:r>
            <w:r/>
          </w:p>
          <w:p>
            <w:pPr>
              <w:pStyle w:val="869"/>
              <w:jc w:val="center"/>
              <w:spacing w:line="264" w:lineRule="auto"/>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元</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产品类型</w:t>
            </w:r>
            <w:r>
              <w:rPr>
                <w:rFonts w:hint="eastAsia" w:ascii="宋体" w:hAnsi="宋体" w:eastAsia="宋体" w:cs="宋体"/>
                <w:bCs/>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所属</w:t>
            </w:r>
            <w:r>
              <w:rPr>
                <w:rFonts w:hint="eastAsia" w:ascii="宋体" w:hAnsi="宋体" w:eastAsia="宋体" w:cs="宋体"/>
                <w:bCs/>
                <w:sz w:val="24"/>
                <w:szCs w:val="24"/>
                <w:lang w:eastAsia="zh-CN"/>
              </w:rPr>
              <w:t xml:space="preserve">行业</w:t>
            </w:r>
            <w:r>
              <w:rPr>
                <w:rFonts w:hint="eastAsia" w:ascii="宋体" w:hAnsi="宋体" w:eastAsia="宋体" w:cs="宋体"/>
                <w:bCs/>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属性</w:t>
            </w:r>
            <w:r>
              <w:rPr>
                <w:rFonts w:hint="eastAsia" w:ascii="宋体" w:hAnsi="宋体" w:eastAsia="宋体" w:cs="宋体"/>
                <w:bCs/>
                <w:sz w:val="24"/>
                <w:szCs w:val="24"/>
                <w:lang w:eastAsia="zh-CN"/>
              </w:rPr>
            </w:r>
            <w:r/>
          </w:p>
        </w:tc>
        <w:tc>
          <w:tcPr>
            <w:tcW w:w="653" w:type="dxa"/>
            <w:vAlign w:val="center"/>
            <w:textDirection w:val="lrTb"/>
            <w:noWrap w:val="false"/>
          </w:tcPr>
          <w:p>
            <w:pPr>
              <w:pStyle w:val="869"/>
              <w:jc w:val="center"/>
              <w:keepLines w:val="0"/>
              <w:keepNext w:val="0"/>
              <w:pageBreakBefore w:val="0"/>
              <w:spacing w:line="288"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eastAsia="zh-CN"/>
              </w:rPr>
              <w:t xml:space="preserve">政府强制采购节能产品</w:t>
            </w:r>
            <w:r>
              <w:rPr>
                <w:rFonts w:hint="eastAsia" w:ascii="宋体" w:hAnsi="宋体" w:eastAsia="宋体" w:cs="Times New Roman"/>
                <w:bCs/>
                <w:color w:val="000000"/>
                <w:sz w:val="24"/>
                <w:szCs w:val="24"/>
                <w:lang w:val="en-US" w:eastAsia="zh-CN" w:bidi="ar-SA"/>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r>
            <w:r/>
          </w:p>
        </w:tc>
        <w:tc>
          <w:tcPr>
            <w:tcW w:w="995" w:type="dxa"/>
            <w:vAlign w:val="center"/>
            <w:textDirection w:val="lrTb"/>
            <w:noWrap w:val="false"/>
          </w:tcPr>
          <w:p>
            <w:pPr>
              <w:pStyle w:val="869"/>
              <w:keepLines w:val="0"/>
              <w:keepNext w:val="0"/>
              <w:pageBreakBefore w:val="0"/>
              <w:spacing w:line="264" w:lineRule="auto"/>
              <w:widowControl w:val="off"/>
              <w:rPr>
                <w:rFonts w:ascii="宋体" w:hAnsi="宋体" w:eastAsia="宋体" w:cs="宋体"/>
                <w:bCs/>
                <w:color w:val="0000ff"/>
                <w:sz w:val="24"/>
                <w:szCs w:val="24"/>
                <w:lang w:val="en-US"/>
              </w:rPr>
            </w:pPr>
            <w:r>
              <w:rPr>
                <w:rFonts w:hint="eastAsia" w:ascii="宋体" w:hAnsi="宋体" w:eastAsia="宋体" w:cs="宋体"/>
                <w:bCs/>
                <w:color w:val="000000"/>
                <w:sz w:val="24"/>
                <w:szCs w:val="24"/>
                <w:lang w:val="en-US" w:eastAsia="zh-CN"/>
              </w:rPr>
              <w:t xml:space="preserve">乘客电梯1</w:t>
            </w:r>
            <w:r>
              <w:rPr>
                <w:rFonts w:ascii="宋体" w:hAnsi="宋体" w:eastAsia="宋体" w:cs="宋体"/>
                <w:bCs/>
                <w:color w:val="0000ff"/>
                <w:sz w:val="24"/>
                <w:szCs w:val="24"/>
                <w:lang w:val="en-US"/>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部</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
                <w:bCs w:val="0"/>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r>
        <w:trPr>
          <w:trHeight w:val="414"/>
        </w:trPr>
        <w:tc>
          <w:tcPr>
            <w:tcW w:w="33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995" w:type="dxa"/>
            <w:vAlign w:val="center"/>
            <w:textDirection w:val="lrTb"/>
            <w:noWrap w:val="false"/>
          </w:tcPr>
          <w:p>
            <w:pPr>
              <w:pStyle w:val="869"/>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乘客电梯2</w:t>
            </w:r>
            <w:r>
              <w:rPr>
                <w:rFonts w:ascii="宋体" w:hAnsi="宋体" w:eastAsia="宋体" w:cs="宋体"/>
                <w:bCs/>
                <w:color w:val="000000"/>
                <w:sz w:val="24"/>
                <w:szCs w:val="24"/>
                <w:lang w:val="en-US" w:eastAsia="zh-CN"/>
              </w:rPr>
            </w:r>
            <w:r/>
          </w:p>
        </w:tc>
        <w:tc>
          <w:tcPr>
            <w:tcW w:w="37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ascii="宋体" w:hAnsi="宋体" w:eastAsia="宋体" w:cs="宋体"/>
                <w:bCs/>
                <w:color w:val="000000"/>
                <w:sz w:val="24"/>
                <w:szCs w:val="24"/>
                <w:lang w:val="en-US" w:eastAsia="zh-CN"/>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部</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350000</w:t>
            </w:r>
            <w:r>
              <w:rPr>
                <w:rFonts w:hint="eastAsia" w:ascii="宋体" w:hAnsi="宋体" w:eastAsia="宋体" w:cs="宋体"/>
                <w:bCs/>
                <w:color w:val="000000"/>
                <w:sz w:val="24"/>
                <w:szCs w:val="24"/>
                <w:lang w:val="en-US" w:eastAsia="zh-CN" w:bidi="ar-SA"/>
              </w:rPr>
            </w:r>
            <w:r/>
          </w:p>
        </w:tc>
        <w:tc>
          <w:tcPr>
            <w:tcW w:w="611"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w:t>
            </w:r>
            <w:r>
              <w:rPr>
                <w:rFonts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val="en-US" w:eastAsia="zh-CN" w:bidi="ar-SA"/>
              </w:rPr>
            </w:r>
            <w:r/>
          </w:p>
        </w:tc>
        <w:tc>
          <w:tcPr>
            <w:tcW w:w="65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77" w:type="dxa"/>
        <w:jc w:val="center"/>
        <w:tblInd w:w="-2354" w:type="dxa"/>
        <w:tblLayout w:type="fixed"/>
        <w:tblCellMar>
          <w:left w:w="108" w:type="dxa"/>
          <w:top w:w="0" w:type="dxa"/>
          <w:right w:w="108" w:type="dxa"/>
          <w:bottom w:w="0" w:type="dxa"/>
        </w:tblCellMar>
        <w:tblLook w:val="04A0" w:firstRow="1" w:lastRow="0" w:firstColumn="1" w:lastColumn="0" w:noHBand="0" w:noVBand="1"/>
      </w:tblPr>
      <w:tblGrid>
        <w:gridCol w:w="1808"/>
        <w:gridCol w:w="1702"/>
        <w:gridCol w:w="1245"/>
        <w:gridCol w:w="60"/>
        <w:gridCol w:w="2002"/>
        <w:gridCol w:w="3160"/>
      </w:tblGrid>
      <w:tr>
        <w:trPr>
          <w:trHeight w:val="434"/>
        </w:trPr>
        <w:tc>
          <w:tcPr>
            <w:gridSpan w:val="6"/>
            <w:tcBorders>
              <w:top w:val="single" w:color="000000" w:sz="4" w:space="0"/>
              <w:left w:val="single" w:color="000000" w:sz="4" w:space="0"/>
              <w:bottom w:val="single" w:color="000000" w:sz="4" w:space="0"/>
              <w:right w:val="single" w:color="000000" w:sz="4" w:space="0"/>
            </w:tcBorders>
            <w:tcW w:w="997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技术参数</w:t>
            </w:r>
            <w:r>
              <w:rPr>
                <w:rFonts w:hint="eastAsia" w:ascii="宋体" w:hAnsi="宋体" w:eastAsia="宋体" w:cs="宋体"/>
                <w:color w:val="000000"/>
                <w:sz w:val="24"/>
                <w:szCs w:val="24"/>
                <w:highlight w:val="none"/>
                <w:lang w:val="en-US" w:eastAsia="zh-CN" w:bidi="ar"/>
              </w:rPr>
              <w:t xml:space="preserve">不低于以下要求</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建筑</w:t>
            </w:r>
            <w:r>
              <w:rPr>
                <w:rFonts w:hint="eastAsia" w:ascii="宋体" w:hAnsi="宋体" w:eastAsia="宋体" w:cs="宋体"/>
                <w:color w:val="000000"/>
                <w:sz w:val="24"/>
                <w:szCs w:val="24"/>
                <w:highlight w:val="none"/>
                <w:lang w:bidi="ar"/>
              </w:rPr>
              <w:t xml:space="preserve">尺寸</w:t>
            </w:r>
            <w:r>
              <w:rPr>
                <w:rFonts w:hint="eastAsia" w:ascii="宋体" w:hAnsi="宋体" w:eastAsia="宋体" w:cs="宋体"/>
                <w:color w:val="000000"/>
                <w:sz w:val="24"/>
                <w:szCs w:val="24"/>
                <w:highlight w:val="none"/>
                <w:lang w:val="zh-CN" w:bidi="ar"/>
              </w:rPr>
              <w:t xml:space="preserve">（仅供参考，</w:t>
            </w:r>
            <w:r>
              <w:rPr>
                <w:rFonts w:hint="eastAsia" w:ascii="宋体" w:hAnsi="宋体" w:eastAsia="宋体" w:cs="宋体"/>
                <w:b w:val="0"/>
                <w:bCs w:val="0"/>
                <w:color w:val="000000"/>
                <w:sz w:val="24"/>
                <w:szCs w:val="24"/>
                <w:highlight w:val="none"/>
                <w:lang w:val="en-US" w:eastAsia="zh-CN" w:bidi="ar"/>
              </w:rPr>
              <w:t xml:space="preserve">以现场实际为准</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井道尺寸（宽*深mm）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乘客电梯1：2100*2000；乘客电梯2:2000*2800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开门尺寸（宽*高mm）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乘客</w:t>
            </w:r>
            <w:r>
              <w:rPr>
                <w:rFonts w:hint="eastAsia" w:ascii="宋体" w:hAnsi="宋体" w:eastAsia="宋体" w:cs="宋体"/>
                <w:b w:val="0"/>
                <w:bCs w:val="0"/>
                <w:color w:val="000000"/>
                <w:sz w:val="24"/>
                <w:szCs w:val="24"/>
                <w:highlight w:val="none"/>
                <w:lang w:val="en-US" w:eastAsia="zh-CN"/>
              </w:rPr>
              <w:t xml:space="preserve">电梯1、2:800*2100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轿厢尺寸（宽*深mm）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乘客</w:t>
            </w:r>
            <w:r>
              <w:rPr>
                <w:rFonts w:hint="eastAsia" w:ascii="宋体" w:hAnsi="宋体" w:eastAsia="宋体" w:cs="宋体"/>
                <w:b w:val="0"/>
                <w:bCs w:val="0"/>
                <w:color w:val="000000"/>
                <w:sz w:val="24"/>
                <w:szCs w:val="24"/>
                <w:highlight w:val="none"/>
                <w:lang w:val="en-US" w:eastAsia="zh-CN"/>
              </w:rPr>
              <w:t xml:space="preserve">电梯1、2：1500*1400</w:t>
            </w:r>
            <w:r>
              <w:rPr>
                <w:rFonts w:hint="eastAsia" w:ascii="宋体" w:hAnsi="宋体" w:eastAsia="宋体" w:cs="宋体"/>
                <w:b w:val="0"/>
                <w:bCs w:val="0"/>
                <w:color w:val="000000"/>
                <w:sz w:val="24"/>
                <w:szCs w:val="24"/>
                <w:highlight w:val="none"/>
                <w:lang w:val="en-US" w:eastAsia="zh-CN"/>
              </w:rPr>
            </w:r>
            <w:r/>
          </w:p>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（注：以现场最大尺寸设计）</w:t>
            </w:r>
            <w:r>
              <w:rPr>
                <w:rFonts w:ascii="宋体" w:hAnsi="宋体" w:eastAsia="宋体" w:cs="宋体"/>
                <w:b w:val="0"/>
                <w:bCs w:val="0"/>
                <w:color w:val="000000"/>
                <w:sz w:val="24"/>
                <w:szCs w:val="24"/>
                <w:highlight w:val="none"/>
                <w:lang w:val="en-US" w:eastAsia="zh-CN"/>
              </w:rPr>
            </w:r>
            <w:r/>
          </w:p>
        </w:tc>
      </w:tr>
      <w:tr>
        <w:trPr>
          <w:trHeight w:val="308"/>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轿厢净高（mm）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乘客电梯1、2:2200</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（注：以现场最大尺寸设计）</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顶层净高（mm）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乘客电梯1：3730；乘客电梯2:4000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底坑深度（mm）</w:t>
            </w:r>
            <w:r>
              <w:rPr>
                <w:rFonts w:hint="eastAsia" w:ascii="宋体" w:hAnsi="宋体" w:eastAsia="宋体" w:cs="宋体"/>
                <w:b w:val="0"/>
                <w:bCs w:val="0"/>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乘客</w:t>
            </w:r>
            <w:r>
              <w:rPr>
                <w:rFonts w:hint="eastAsia" w:ascii="宋体" w:hAnsi="宋体" w:eastAsia="宋体" w:cs="宋体"/>
                <w:b w:val="0"/>
                <w:bCs w:val="0"/>
                <w:color w:val="000000"/>
                <w:sz w:val="24"/>
                <w:szCs w:val="24"/>
                <w:highlight w:val="none"/>
                <w:lang w:val="en-US" w:eastAsia="zh-CN"/>
              </w:rPr>
              <w:t xml:space="preserve">电梯1：1500；</w:t>
            </w:r>
            <w:r>
              <w:rPr>
                <w:rFonts w:hint="eastAsia" w:ascii="宋体" w:hAnsi="宋体" w:eastAsia="宋体" w:cs="宋体"/>
                <w:bCs/>
                <w:color w:val="000000"/>
                <w:sz w:val="24"/>
                <w:szCs w:val="24"/>
                <w:lang w:val="en-US" w:eastAsia="zh-CN"/>
              </w:rPr>
              <w:t xml:space="preserve">乘客</w:t>
            </w:r>
            <w:r>
              <w:rPr>
                <w:rFonts w:hint="eastAsia" w:ascii="宋体" w:hAnsi="宋体" w:eastAsia="宋体" w:cs="宋体"/>
                <w:b w:val="0"/>
                <w:bCs w:val="0"/>
                <w:color w:val="000000"/>
                <w:sz w:val="24"/>
                <w:szCs w:val="24"/>
                <w:highlight w:val="none"/>
                <w:lang w:val="en-US" w:eastAsia="zh-CN"/>
              </w:rPr>
              <w:t xml:space="preserve">电梯2:1400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配置</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乘客电梯1、2）</w:t>
            </w:r>
            <w:r>
              <w:rPr>
                <w:rFonts w:ascii="宋体" w:hAnsi="宋体" w:eastAsia="宋体" w:cs="宋体"/>
                <w:color w:val="000000"/>
                <w:sz w:val="24"/>
                <w:szCs w:val="24"/>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拖动方式</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交流变频变压 VVVF</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传动方式</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永磁同步无齿轮曳引机</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控制方式</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单控</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开门方式</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中分</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悬挂系统</w:t>
            </w:r>
            <w:r>
              <w:rPr>
                <w:rFonts w:hint="eastAsia" w:ascii="宋体" w:hAnsi="宋体" w:eastAsia="宋体" w:cs="宋体"/>
                <w:color w:val="000000"/>
                <w:sz w:val="24"/>
                <w:szCs w:val="24"/>
                <w:highlight w:val="none"/>
                <w:lang w:eastAsia="zh-CN" w:bidi="ar"/>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lang w:val="en-US" w:eastAsia="zh-CN"/>
              </w:rPr>
              <w:t xml:space="preserve">钢带</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门保护装置</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光幕保护</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电源适应</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动力电源：AC 3相 380V 50Hz</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速度</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≥1.0m/s</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层站门</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电梯1：6/6/6(注：1层前门开，2-5层后门开）；</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电梯2:3/3/3</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★载重</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≥1000kg</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提升高度（mm）</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电梯1：26770；电梯2:12700</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（注：以现场尺寸为准。）</w:t>
            </w:r>
            <w:r>
              <w:rPr>
                <w:rFonts w:ascii="宋体" w:hAnsi="宋体" w:eastAsia="宋体" w:cs="宋体"/>
                <w:bCs/>
                <w:color w:val="000000"/>
                <w:sz w:val="24"/>
                <w:szCs w:val="24"/>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乘客电梯轿厢运行时垂直方向和水平方向的振动加速度</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符合国标</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平层准确度</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007"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噪声</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轿厢内不得大于55db</w:t>
            </w:r>
            <w:r>
              <w:rPr>
                <w:rFonts w:hint="eastAsia" w:ascii="宋体" w:hAnsi="宋体" w:eastAsia="宋体" w:cs="宋体"/>
                <w:bCs/>
                <w:color w:val="000000"/>
                <w:sz w:val="24"/>
                <w:szCs w:val="24"/>
                <w:lang w:val="en-US" w:eastAsia="zh-CN"/>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安全功能（</w:t>
            </w:r>
            <w:r>
              <w:rPr>
                <w:rFonts w:hint="eastAsia" w:ascii="宋体" w:hAnsi="宋体" w:eastAsia="宋体" w:cs="宋体"/>
                <w:color w:val="000000"/>
                <w:sz w:val="24"/>
                <w:szCs w:val="24"/>
                <w:highlight w:val="none"/>
                <w:lang w:val="en-US" w:eastAsia="zh-CN" w:bidi="ar"/>
              </w:rPr>
              <w:t xml:space="preserve">乘客电梯1、2）</w:t>
            </w:r>
            <w:r>
              <w:rPr>
                <w:rFonts w:hint="eastAsia" w:ascii="宋体" w:hAnsi="宋体" w:eastAsia="宋体" w:cs="宋体"/>
                <w:color w:val="000000"/>
                <w:sz w:val="24"/>
                <w:szCs w:val="24"/>
                <w:highlight w:val="none"/>
                <w:lang w:eastAsia="zh-CN" w:bidi="ar"/>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lang w:val="en-US" w:eastAsia="zh-CN"/>
              </w:rPr>
              <w:t xml:space="preserve">停电自动疏散功能</w:t>
            </w:r>
            <w:r>
              <w:rPr>
                <w:rFonts w:hint="eastAsia" w:ascii="宋体" w:hAnsi="宋体" w:eastAsia="宋体" w:cs="宋体"/>
                <w:bCs/>
                <w:color w:val="000000"/>
                <w:sz w:val="24"/>
                <w:szCs w:val="24"/>
                <w:lang w:val="en-US" w:eastAsia="zh-CN"/>
              </w:rPr>
            </w:r>
            <w:r/>
          </w:p>
        </w:tc>
      </w:tr>
      <w:tr>
        <w:trPr>
          <w:trHeight w:val="285"/>
        </w:trPr>
        <w:tc>
          <w:tcPr>
            <w:gridSpan w:val="4"/>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其他需求（</w:t>
            </w:r>
            <w:r>
              <w:rPr>
                <w:rFonts w:hint="eastAsia" w:ascii="宋体" w:hAnsi="宋体" w:eastAsia="宋体" w:cs="宋体"/>
                <w:color w:val="000000"/>
                <w:sz w:val="24"/>
                <w:szCs w:val="24"/>
                <w:highlight w:val="none"/>
                <w:lang w:val="en-US" w:eastAsia="zh-CN" w:bidi="ar"/>
              </w:rPr>
              <w:t xml:space="preserve">乘客电梯1、2）</w:t>
            </w:r>
            <w:r>
              <w:rPr>
                <w:rFonts w:hint="eastAsia" w:ascii="宋体" w:hAnsi="宋体" w:eastAsia="宋体" w:cs="宋体"/>
                <w:color w:val="000000"/>
                <w:sz w:val="24"/>
                <w:szCs w:val="24"/>
                <w:highlight w:val="none"/>
                <w:lang w:eastAsia="zh-CN" w:bidi="ar"/>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单冷空调</w:t>
            </w:r>
            <w:r>
              <w:rPr>
                <w:rFonts w:hint="eastAsia" w:ascii="宋体" w:hAnsi="宋体" w:eastAsia="宋体" w:cs="宋体"/>
                <w:color w:val="000000"/>
                <w:sz w:val="24"/>
                <w:szCs w:val="24"/>
                <w:highlight w:val="none"/>
                <w:lang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内外</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装饰</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乘客电梯1、2）</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轿厢顶</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发纹不锈钢，要求明亮、美观，标配led照明自动控制</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轿厢壁</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轿厢门</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1.5mm发纹不锈钢</w:t>
            </w:r>
            <w:r>
              <w:rPr>
                <w:rFonts w:hint="eastAsia" w:ascii="宋体" w:hAnsi="宋体" w:eastAsia="宋体" w:cs="宋体"/>
                <w:bCs/>
                <w:color w:val="000000"/>
                <w:sz w:val="24"/>
                <w:szCs w:val="24"/>
                <w:lang w:val="en-US" w:eastAsia="zh-CN"/>
              </w:rPr>
            </w:r>
            <w:r/>
          </w:p>
        </w:tc>
      </w:tr>
      <w:tr>
        <w:trPr>
          <w:trHeight w:val="287"/>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脚踏板</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硬质铝合金</w:t>
            </w:r>
            <w:r>
              <w:rPr>
                <w:rFonts w:hint="eastAsia" w:ascii="宋体" w:hAnsi="宋体" w:eastAsia="宋体" w:cs="宋体"/>
                <w:bCs/>
                <w:color w:val="000000"/>
                <w:sz w:val="24"/>
                <w:szCs w:val="24"/>
                <w:lang w:val="en-US" w:eastAsia="zh-CN"/>
              </w:rPr>
            </w:r>
            <w:r/>
          </w:p>
        </w:tc>
      </w:tr>
      <w:tr>
        <w:trPr>
          <w:trHeight w:val="317"/>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轿厢地面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PVC（颜色由采购人指定）</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操作盘</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显示器显示内容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lang w:val="en-US" w:eastAsia="zh-CN"/>
              </w:rPr>
              <w:t xml:space="preserve">15寸彩色液晶屏、运行方向、位置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操作功能</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标准配置（按钮选层、开关门、紧急呼叫 ）</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标示要求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标准配置（字符凸起、带盲文）</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按钮要求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其他要求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耐火完整性达120分钟</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小门套</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楼层召唤</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液晶、运行方向、位置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808"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4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06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安装位置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60"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突出墙面安装，位置参照现场实际情况</w:t>
            </w:r>
            <w:r>
              <w:rPr>
                <w:rFonts w:hint="eastAsia" w:ascii="宋体" w:hAnsi="宋体" w:eastAsia="宋体" w:cs="宋体"/>
                <w:bCs/>
                <w:color w:val="000000"/>
                <w:sz w:val="24"/>
                <w:szCs w:val="24"/>
                <w:lang w:val="en-US" w:eastAsia="zh-CN"/>
              </w:rPr>
            </w:r>
            <w:r/>
          </w:p>
        </w:tc>
      </w:tr>
      <w:tr>
        <w:trPr>
          <w:trHeight w:val="403"/>
        </w:trPr>
        <w:tc>
          <w:tcPr>
            <w:gridSpan w:val="4"/>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功能及要求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乘客电梯1、2）</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曳引机同步运行、层高自测定、启动补偿功能、专用运转、司机操作、最近楼层服务运转、超载报警、不能开门时救出运转、开门报警、自动再平层、操作盘文字信息、故障电梯自动分离（联控、三台群控）、门的异常检查装置、光幕、五方通话、警铃（轿顶）、轿厢应急照明、闲暇自动检测运转、强制关门、运行时间监测、井道内急停开关、超速电气保护、超速机械</w:t>
            </w:r>
            <w:r>
              <w:rPr>
                <w:rFonts w:hint="eastAsia" w:ascii="宋体" w:hAnsi="宋体" w:eastAsia="宋体" w:cs="宋体"/>
                <w:bCs/>
                <w:color w:val="000000"/>
                <w:sz w:val="24"/>
                <w:szCs w:val="24"/>
                <w:lang w:val="en-US" w:eastAsia="zh-CN"/>
              </w:rPr>
              <w:t xml:space="preserve">保护、避难层返回信号输出、防捣乱功能、电动机空转保护、位置异常自动校正、运行次数显示、故障自动检测、故障自动存储、候梯厅信号文字、火灾管制运转（一个避难层且在端层）、轿门防扒开装置、耐冲击层门系统、开门时间自动调整、轿厢意外移动保护装置、取消错误呼叫功能、轿厢照明、换气扇自动关闭、电源相位故障监测、禁止反向运行登录、基准层返回（单控、联控、三台群控）、双重减震、消防服务运转（嵌入式）、满载不停、停用运转、网络数字视频网线（轿厢至控制柜）、电梯运行监视用信号输出接口、到站响钟（轿厢内）、净离子群空气净化装置。</w:t>
            </w:r>
            <w:r>
              <w:rPr>
                <w:rFonts w:hint="eastAsia" w:ascii="宋体" w:hAnsi="宋体" w:eastAsia="宋体" w:cs="宋体"/>
                <w:bCs/>
                <w:color w:val="000000"/>
                <w:sz w:val="24"/>
                <w:szCs w:val="24"/>
                <w:lang w:val="en-US" w:eastAsia="zh-CN"/>
              </w:rPr>
            </w:r>
            <w:r/>
          </w:p>
        </w:tc>
      </w:tr>
      <w:tr>
        <w:trPr>
          <w:trHeight w:val="492"/>
        </w:trPr>
        <w:tc>
          <w:tcPr>
            <w:gridSpan w:val="4"/>
            <w:tcBorders>
              <w:top w:val="single" w:color="000000" w:sz="4" w:space="0"/>
              <w:left w:val="single" w:color="000000" w:sz="4" w:space="0"/>
              <w:bottom w:val="single" w:color="000000" w:sz="4" w:space="0"/>
              <w:right w:val="single" w:color="000000" w:sz="4" w:space="0"/>
            </w:tcBorders>
            <w:tcW w:w="481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其他技术要求</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乘客电梯1、2）</w:t>
            </w:r>
            <w:r>
              <w:rPr>
                <w:rFonts w:hint="eastAsia" w:ascii="宋体" w:hAnsi="宋体" w:eastAsia="宋体" w:cs="宋体"/>
                <w:color w:val="000000"/>
                <w:sz w:val="24"/>
                <w:szCs w:val="24"/>
                <w:highlight w:val="none"/>
                <w:lang w:val="en-US" w:eastAsia="zh-CN" w:bidi="ar"/>
              </w:rPr>
            </w:r>
            <w:r/>
          </w:p>
        </w:tc>
        <w:tc>
          <w:tcPr>
            <w:gridSpan w:val="2"/>
            <w:tcBorders>
              <w:top w:val="single" w:color="000000" w:sz="4" w:space="0"/>
              <w:left w:val="single" w:color="000000" w:sz="4" w:space="0"/>
              <w:bottom w:val="single" w:color="000000" w:sz="4" w:space="0"/>
              <w:right w:val="single" w:color="000000" w:sz="4" w:space="0"/>
            </w:tcBorders>
            <w:tcW w:w="5162"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1.电源要求：交流三相380V±7%，50HZ；交流单相220V±7%，50HZ；驱动系统：永磁同步无齿轮曳引机；</w:t>
            </w:r>
            <w:r>
              <w:rPr>
                <w:rFonts w:hint="eastAsia" w:ascii="宋体" w:hAnsi="宋体" w:eastAsia="宋体" w:cs="宋体"/>
                <w:bCs/>
                <w:color w:val="000000"/>
                <w:sz w:val="24"/>
                <w:szCs w:val="24"/>
                <w:lang w:val="en-US" w:eastAsia="zh-CN"/>
              </w:rPr>
            </w:r>
            <w:r/>
          </w:p>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2.控制柜抗雷击浪涌电压最高值达到18kv；电梯轿壁为304#发纹不锈钢，按GB/T10125-2021条件及试验方法，满足中性盐雾试验时间&gt;500小时，且达到GB/T6461-2002外观等级&gt;10级；</w:t>
            </w:r>
            <w:r>
              <w:rPr>
                <w:rFonts w:hint="eastAsia" w:ascii="宋体" w:hAnsi="宋体" w:eastAsia="宋体" w:cs="宋体"/>
                <w:bCs/>
                <w:color w:val="000000"/>
                <w:sz w:val="24"/>
                <w:szCs w:val="24"/>
                <w:lang w:val="en-US" w:eastAsia="zh-CN"/>
              </w:rPr>
            </w:r>
            <w:r/>
          </w:p>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3.所投型号客梯的外召唤、操纵箱、轿顶集成箱达到防水等级IPX3；</w:t>
            </w:r>
            <w:r>
              <w:rPr>
                <w:rFonts w:hint="eastAsia" w:ascii="宋体" w:hAnsi="宋体" w:eastAsia="宋体" w:cs="宋体"/>
                <w:bCs/>
                <w:color w:val="000000"/>
                <w:sz w:val="24"/>
                <w:szCs w:val="24"/>
                <w:lang w:val="en-US" w:eastAsia="zh-CN"/>
              </w:rPr>
            </w:r>
            <w:r/>
          </w:p>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4.电梯制造商限速器为原厂原品牌且通过模拟30年使用寿命测试，签订合同时提供第三方测试报告原件供采购人核验。</w:t>
            </w:r>
            <w:r>
              <w:rPr>
                <w:rFonts w:hint="eastAsia" w:ascii="宋体" w:hAnsi="宋体" w:eastAsia="宋体" w:cs="宋体"/>
                <w:bCs/>
                <w:color w:val="000000"/>
                <w:sz w:val="24"/>
                <w:szCs w:val="24"/>
                <w:lang w:val="en-US" w:eastAsia="zh-CN"/>
              </w:rPr>
            </w:r>
            <w:r/>
          </w:p>
          <w:p>
            <w:pPr>
              <w:pStyle w:val="869"/>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5.五方通话：配置无线五方通话；电梯内需配备电梯光幕，光束&gt;180束，防护等级:IP65，且通过遮挡物遮挡实验2000万次无故障；</w:t>
            </w:r>
            <w:r>
              <w:rPr>
                <w:rFonts w:hint="eastAsia" w:ascii="宋体" w:hAnsi="宋体" w:eastAsia="宋体" w:cs="宋体"/>
                <w:bCs/>
                <w:color w:val="000000"/>
                <w:sz w:val="24"/>
                <w:szCs w:val="24"/>
                <w:lang w:val="en-US" w:eastAsia="zh-CN"/>
              </w:rPr>
            </w:r>
            <w:r/>
          </w:p>
          <w:p>
            <w:pPr>
              <w:pStyle w:val="869"/>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bCs/>
                <w:color w:val="000000"/>
                <w:sz w:val="24"/>
                <w:szCs w:val="24"/>
                <w:lang w:val="en-US" w:eastAsia="zh-CN"/>
              </w:rPr>
              <w:t xml:space="preserve">6.正式电缆：供应商负责到电梯配电箱进线端的电缆及机房配电箱出线端到电梯控制柜的电缆。</w:t>
            </w:r>
            <w:r>
              <w:rPr>
                <w:rFonts w:hint="eastAsia" w:ascii="宋体" w:hAnsi="宋体" w:eastAsia="宋体" w:cs="宋体"/>
                <w:color w:val="000000"/>
                <w:sz w:val="24"/>
                <w:szCs w:val="24"/>
                <w:lang w:val="en-US" w:eastAsia="zh-CN" w:bidi="ar-SA"/>
              </w:rPr>
            </w:r>
            <w:r/>
          </w:p>
        </w:tc>
      </w:tr>
    </w:tbl>
    <w:p>
      <w:pPr>
        <w:pStyle w:val="948"/>
        <w:keepLines w:val="0"/>
        <w:keepNext w:val="0"/>
        <w:pageBreakBefore w:val="0"/>
        <w:spacing w:line="264" w:lineRule="auto"/>
        <w:widowControl w:val="off"/>
        <w:rPr>
          <w:rFonts w:hint="eastAsia"/>
          <w:color w:val="000000"/>
          <w:lang w:val="en-US" w:eastAsia="zh-CN"/>
        </w:rPr>
      </w:pP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w:t>
      </w: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应</w:t>
      </w:r>
      <w:r>
        <w:rPr>
          <w:rFonts w:hint="eastAsia" w:ascii="宋体" w:hAnsi="宋体"/>
          <w:color w:val="000000"/>
          <w:sz w:val="24"/>
          <w:szCs w:val="24"/>
          <w:lang w:val="en-US" w:eastAsia="zh-CN"/>
        </w:rPr>
        <w:t xml:space="preserve">在</w:t>
      </w:r>
      <w:r>
        <w:rPr>
          <w:rFonts w:hint="eastAsia" w:ascii="宋体" w:hAnsi="宋体" w:eastAsia="宋体"/>
          <w:color w:val="000000"/>
          <w:sz w:val="24"/>
          <w:szCs w:val="24"/>
          <w:lang w:val="en-US" w:eastAsia="zh-CN"/>
        </w:rPr>
        <w:t xml:space="preserve">合同签订后3个工作日内，</w:t>
      </w:r>
      <w:r>
        <w:rPr>
          <w:rFonts w:hint="eastAsia" w:ascii="宋体" w:hAnsi="宋体"/>
          <w:color w:val="000000"/>
          <w:sz w:val="24"/>
          <w:szCs w:val="24"/>
        </w:rPr>
        <w:t xml:space="preserve">到现场进行实地勘察，测量电梯尺寸。</w:t>
      </w:r>
      <w:r>
        <w:rPr>
          <w:rFonts w:hint="eastAsia" w:ascii="宋体" w:hAnsi="宋体" w:eastAsia="宋体" w:cs="宋体"/>
          <w:color w:val="000000"/>
          <w:sz w:val="24"/>
          <w:szCs w:val="24"/>
          <w:lang w:val="en-US" w:eastAsia="zh-CN"/>
        </w:rPr>
        <w:t xml:space="preserve">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③供应商应为其项目实施人员办理各项保险，保险费由中标供应商承担，加强安全管理，严格操作规程，在货物运输、实施过程中如出现任何安全事故，责任由中标供应商承担。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①供应商应保证货物是全新、未使用过的原装合格正品。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②供应商应保证提供的产品不得侵犯第三方专利权、商标权和工业设计权、版权等。否则投标人应负全部责任，并承担由此引起的一切后果。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④供应商应保证其货物在正常使用时，其使用寿命期内应具有良好的性能。货物最终验收后，投标人应对由于设计、工艺或材料的缺陷而发生的任何不足或质量问题负责，并承担由此引起的一切后果。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①验收标准：投标人提供的设备必须符合我国最新颁布的与之相关的技术规范与标准，同时须满足符合投标响应文件要求。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投标人对质量问题负责包退、包换和包修，因此发生的费用由投标人负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投标人承担；若二次验收不合格，采购人有权退货。采购人在此期间保留对投标人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④投标人授权的技术人员在最终采购方指定地点开箱、安装、调试，协同用户一起进行验收，直至设备技术指标经验收合格，出具验收报告，经最终用户同意签字才能正式交付用户使用。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ascii="宋体" w:hAnsi="宋体" w:eastAsia="宋体" w:cs="宋体"/>
          <w:b w:val="0"/>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质保期：整体质保三年（由电梯制造商在项目所在地提供原厂保养，签订合同时供应商须提供原厂质保承诺函加盖厂家鲜章）。</w:t>
      </w:r>
      <w:r>
        <w:rPr>
          <w:rFonts w:hint="eastAsia"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②质保期内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维护保养及更换损坏件的费用包含在投标总价中。</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③质保期内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w:t>
      </w:r>
      <w:r>
        <w:rPr>
          <w:rFonts w:ascii="宋体" w:hAnsi="宋体" w:eastAsia="宋体" w:cs="宋体"/>
          <w:b w:val="0"/>
          <w:bCs w:val="0"/>
          <w:color w:val="000000"/>
          <w:sz w:val="24"/>
          <w:szCs w:val="24"/>
          <w:highlight w:val="none"/>
          <w:lang w:val="en-US" w:eastAsia="zh-CN"/>
        </w:rPr>
        <w:t xml:space="preserve">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eastAsia="宋体" w:cs="宋体"/>
          <w:b w:val="0"/>
          <w:bCs w:val="0"/>
          <w:color w:val="000000"/>
          <w:sz w:val="24"/>
          <w:szCs w:val="24"/>
          <w:highlight w:val="none"/>
          <w:lang w:val="en-US" w:eastAsia="zh-CN"/>
        </w:rPr>
        <w:t xml:space="preserve">质保期内维修（人为因素除外）费用包含在投标总价中，质保期外提供不高于市场价格的终身维护。中标后提供质保期外配件价格明细表。</w:t>
      </w:r>
      <w:r>
        <w:rPr>
          <w:rFonts w:ascii="宋体" w:hAnsi="宋体" w:eastAsia="宋体" w:cs="宋体"/>
          <w:b w:val="0"/>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（5）培训要求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供应商对</w:t>
      </w:r>
      <w:r>
        <w:rPr>
          <w:rFonts w:hint="eastAsia" w:ascii="宋体" w:hAnsi="宋体" w:eastAsia="宋体" w:cs="宋体"/>
          <w:color w:val="000000"/>
          <w:sz w:val="24"/>
          <w:szCs w:val="24"/>
          <w:lang w:val="en-US" w:eastAsia="zh-CN"/>
        </w:rPr>
        <w:t xml:space="preserve">采购人</w:t>
      </w:r>
      <w:r>
        <w:rPr>
          <w:rFonts w:hint="eastAsia" w:ascii="宋体" w:hAnsi="宋体" w:eastAsia="宋体" w:cs="宋体"/>
          <w:color w:val="000000"/>
          <w:sz w:val="24"/>
          <w:szCs w:val="24"/>
          <w:lang w:val="en-US" w:eastAsia="zh-CN"/>
        </w:rPr>
        <w:t xml:space="preserve">使用和维护</w:t>
      </w:r>
      <w:r>
        <w:rPr>
          <w:rFonts w:hint="eastAsia" w:ascii="宋体" w:hAnsi="宋体" w:eastAsia="宋体" w:cs="宋体"/>
          <w:color w:val="000000"/>
          <w:sz w:val="24"/>
          <w:szCs w:val="24"/>
          <w:lang w:val="en-US" w:eastAsia="zh-CN"/>
        </w:rPr>
        <w:t xml:space="preserve">设备</w:t>
      </w:r>
      <w:r>
        <w:rPr>
          <w:rFonts w:hint="eastAsia" w:ascii="宋体" w:hAnsi="宋体" w:eastAsia="宋体" w:cs="宋体"/>
          <w:color w:val="000000"/>
          <w:sz w:val="24"/>
          <w:szCs w:val="24"/>
          <w:lang w:val="en-US" w:eastAsia="zh-CN"/>
        </w:rPr>
        <w:t xml:space="preserve">提供培训，费用包含在投标总价中。</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30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color w:val="000000"/>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color w:val="000000"/>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bookmarkEnd w:id="196"/>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第五章  评标方法与评标标准</w:t>
      </w:r>
      <w:r>
        <w:rPr>
          <w:rFonts w:hint="eastAsia" w:ascii="Arial Unicode MS" w:hAnsi="Arial Unicode MS" w:eastAsia="Arial Unicode MS" w:cs="Arial Unicode MS"/>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rPr>
          <w:rFonts w:hint="eastAsia" w:ascii="宋体" w:hAnsi="宋体" w:eastAsia="宋体" w:cs="宋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1.本</w:t>
      </w:r>
      <w:r>
        <w:rPr>
          <w:rFonts w:hint="eastAsia" w:ascii="宋体" w:hAnsi="宋体" w:eastAsia="宋体" w:cs="Times New Roman"/>
          <w:color w:val="000000"/>
          <w:sz w:val="24"/>
          <w:szCs w:val="24"/>
          <w:lang w:val="en-US" w:eastAsia="zh-CN"/>
        </w:rPr>
        <w:t xml:space="preserve">项目如</w:t>
      </w:r>
      <w:r>
        <w:rPr>
          <w:rFonts w:hint="eastAsia" w:ascii="宋体" w:hAnsi="宋体" w:eastAsia="宋体" w:cs="Times New Roman"/>
          <w:color w:val="000000"/>
          <w:sz w:val="24"/>
          <w:szCs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szCs w:val="24"/>
          <w:lang w:val="zh-CN" w:eastAsia="zh-CN"/>
        </w:rPr>
      </w:r>
      <w:r/>
    </w:p>
    <w:p>
      <w:pPr>
        <w:pStyle w:val="869"/>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9"/>
        <w:ind w:firstLine="420"/>
        <w:rPr>
          <w:rFonts w:hint="eastAsia" w:ascii="宋体" w:hAnsi="宋体" w:eastAsia="宋体" w:cs="Times New Roman"/>
          <w:b/>
          <w:bCs/>
          <w:color w:val="000000"/>
          <w:sz w:val="24"/>
          <w:szCs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按照采购文件要求在《投标分项报价表》中作出承诺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r>
      <w:r/>
    </w:p>
    <w:p>
      <w:pPr>
        <w:pStyle w:val="869"/>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3.供应商需按照采购文件要求提供《关于符合本国产品标准的声明函》，如不提供将不享受本国产品价格评审优惠。</w:t>
      </w:r>
      <w:r>
        <w:rPr>
          <w:rFonts w:hint="eastAsia" w:ascii="宋体" w:hAnsi="宋体" w:eastAsia="宋体" w:cs="Times New Roman"/>
          <w:color w:val="000000"/>
          <w:sz w:val="24"/>
          <w:szCs w:val="24"/>
        </w:rPr>
        <w:t xml:space="preserve">供应商需在《声明函》</w:t>
      </w:r>
      <w:r>
        <w:rPr>
          <w:rFonts w:hint="eastAsia" w:ascii="宋体" w:hAnsi="宋体" w:eastAsia="宋体" w:cs="Times New Roman"/>
          <w:color w:val="000000"/>
          <w:sz w:val="24"/>
          <w:szCs w:val="24"/>
          <w:lang w:val="en-US" w:eastAsia="zh-CN"/>
        </w:rPr>
        <w:t xml:space="preserve">中逐项</w:t>
      </w:r>
      <w:r>
        <w:rPr>
          <w:rFonts w:hint="eastAsia" w:ascii="宋体" w:hAnsi="宋体" w:eastAsia="宋体" w:cs="Times New Roman"/>
          <w:color w:val="000000"/>
          <w:sz w:val="24"/>
          <w:szCs w:val="24"/>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4"/>
        </w:rPr>
      </w:r>
      <w:r/>
    </w:p>
    <w:p>
      <w:pPr>
        <w:pStyle w:val="869"/>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000000"/>
          <w:sz w:val="24"/>
          <w:szCs w:val="24"/>
          <w:lang w:val="en-US" w:eastAsia="zh-CN"/>
        </w:rPr>
        <w:t xml:space="preserve">4.</w:t>
      </w:r>
      <w:r>
        <w:rPr>
          <w:rFonts w:hint="eastAsia" w:ascii="宋体" w:hAnsi="宋体" w:eastAsia="宋体" w:cs="Times New Roman"/>
          <w:b/>
          <w:bCs/>
          <w:color w:val="000000"/>
          <w:sz w:val="24"/>
          <w:szCs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ff"/>
          <w:sz w:val="24"/>
          <w:szCs w:val="24"/>
          <w:highlight w:val="none"/>
          <w:u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rPr>
                <w:rFonts w:hint="eastAsia" w:ascii="宋体" w:hAnsi="宋体" w:eastAsia="宋体" w:cs="宋体"/>
                <w:szCs w:val="21"/>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rPr>
                <w:rFonts w:hint="eastAsia" w:ascii="宋体" w:hAnsi="宋体" w:eastAsia="宋体" w:cs="宋体"/>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rPr>
                <w:rFonts w:hint="eastAsia" w:ascii="宋体" w:hAnsi="宋体" w:eastAsia="宋体" w:cs="宋体"/>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rPr>
                <w:rFonts w:hint="eastAsia" w:ascii="宋体" w:hAnsi="宋体" w:eastAsia="宋体" w:cs="宋体"/>
                <w:szCs w:val="21"/>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rPr>
                <w:rFonts w:hint="eastAsia" w:ascii="宋体" w:hAnsi="宋体" w:eastAsia="宋体" w:cs="宋体"/>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rPr>
                <w:rFonts w:hint="eastAsia" w:ascii="宋体" w:hAnsi="宋体" w:eastAsia="宋体" w:cs="宋体"/>
                <w:szCs w:val="21"/>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rPr>
                <w:rFonts w:hint="eastAsia" w:ascii="宋体" w:hAnsi="宋体" w:eastAsia="宋体" w:cs="宋体"/>
                <w:spacing w:val="-2"/>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rPr>
                <w:rFonts w:hint="eastAsia" w:ascii="宋体" w:hAnsi="宋体" w:eastAsia="宋体" w:cs="宋体"/>
                <w:spacing w:val="-2"/>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产品技术参数全部满足招标要求的得满分，打★指标为必须满足项，如有负偏离将作为无效投标，打▲指标为重要指标（10项），</w:t>
            </w:r>
            <w:r>
              <w:rPr>
                <w:rFonts w:hint="eastAsia" w:ascii="宋体" w:hAnsi="宋体" w:eastAsia="宋体" w:cs="宋体"/>
                <w:sz w:val="21"/>
                <w:szCs w:val="21"/>
                <w:lang w:val="en-US" w:eastAsia="zh-CN"/>
              </w:rPr>
              <w:t xml:space="preserve">有1项负偏离扣0.3分，其余指标有1项负偏离扣0.075分。</w:t>
            </w:r>
            <w:r>
              <w:rPr>
                <w:rFonts w:hint="eastAsia" w:ascii="宋体" w:hAnsi="宋体" w:eastAsia="宋体" w:cs="宋体"/>
                <w:spacing w:val="1"/>
                <w:szCs w:val="21"/>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6</w:t>
            </w:r>
            <w:r>
              <w:rPr>
                <w:rFonts w:ascii="宋体" w:hAnsi="宋体" w:eastAsia="宋体" w:cs="宋体"/>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深化设计</w:t>
            </w:r>
            <w:r>
              <w:rPr>
                <w:rFonts w:hint="eastAsia" w:ascii="宋体" w:hAnsi="宋体" w:eastAsia="宋体" w:cs="宋体"/>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bookmarkStart w:id="198" w:name="OLE_LINK5"/>
            <w:r>
              <w:rPr>
                <w:rFonts w:hint="eastAsia" w:ascii="宋体" w:hAnsi="宋体" w:eastAsia="宋体" w:cs="宋体"/>
                <w:szCs w:val="21"/>
                <w:highlight w:val="none"/>
                <w:lang w:val="en-US" w:eastAsia="zh-CN"/>
              </w:rPr>
              <w:t xml:space="preserve">根据本项目采购需求及相关要求编制方案，内容包含：</w:t>
            </w:r>
            <w:r>
              <w:rPr>
                <w:rFonts w:hint="eastAsia" w:ascii="宋体" w:hAnsi="宋体" w:eastAsia="宋体" w:cs="宋体"/>
                <w:szCs w:val="21"/>
                <w:highlight w:val="none"/>
                <w:lang w:val="zh-CN" w:eastAsia="zh-CN"/>
              </w:rPr>
              <w:t xml:space="preserve">1.场馆内电梯外部设计；2.办公区电梯外部设计；3.电梯内部装饰。</w:t>
            </w:r>
            <w:r>
              <w:rPr>
                <w:rFonts w:hint="eastAsia" w:ascii="宋体" w:hAnsi="宋体" w:eastAsia="宋体" w:cs="宋体"/>
                <w:szCs w:val="21"/>
                <w:highlight w:val="none"/>
                <w:lang w:val="en-US" w:eastAsia="zh-CN"/>
              </w:rPr>
              <w:t xml:space="preserve">以上每项内容逐项评分：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方案内容</w:t>
            </w:r>
            <w:r>
              <w:rPr>
                <w:rFonts w:hint="eastAsia" w:ascii="宋体" w:hAnsi="宋体" w:eastAsia="宋体" w:cs="宋体"/>
                <w:szCs w:val="21"/>
                <w:highlight w:val="none"/>
                <w:lang w:val="zh-CN" w:eastAsia="zh-CN"/>
              </w:rPr>
              <w:t xml:space="preserve">完整，科学性、合理性、操作性</w:t>
            </w:r>
            <w:r>
              <w:rPr>
                <w:rFonts w:hint="eastAsia" w:ascii="宋体" w:hAnsi="宋体" w:eastAsia="宋体" w:cs="宋体"/>
                <w:szCs w:val="21"/>
                <w:highlight w:val="none"/>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上述每项内容符合得2分；部分符合得1分；不符合或不提供不得分。</w:t>
            </w:r>
            <w:bookmarkEnd w:id="198"/>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zCs w:val="21"/>
                <w:highlight w:val="none"/>
                <w:lang w:val="en-US" w:eastAsia="zh-CN"/>
              </w:rPr>
              <w:t xml:space="preserve">主观分</w:t>
            </w:r>
            <w:r>
              <w:rPr>
                <w:rFonts w:hint="eastAsia" w:ascii="宋体" w:hAnsi="宋体" w:eastAsia="宋体" w:cs="宋体"/>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rPr>
                <w:rFonts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产品兼容</w:t>
            </w:r>
            <w:r>
              <w:rPr>
                <w:rFonts w:hint="eastAsia" w:ascii="宋体" w:hAnsi="宋体" w:eastAsia="宋体" w:cs="宋体"/>
                <w:szCs w:val="21"/>
                <w:highlight w:val="none"/>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所投电梯主要部件及安全部件：曳引机、控制柜、安全钳、限速器、缓冲器与所投电梯整机为同一品牌，每响应一个得1分，最多得5分。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注：1.提供所投电梯第三方产品检测报告（型式试验报告）；</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所提供检测报告（型式试验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w:t>
            </w:r>
            <w:r>
              <w:rPr>
                <w:rFonts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客观分</w:t>
            </w:r>
            <w:r>
              <w:rPr>
                <w:rFonts w:ascii="宋体" w:hAnsi="宋体" w:eastAsia="宋体" w:cs="宋体"/>
                <w:szCs w:val="21"/>
                <w:highlight w:val="none"/>
                <w:lang w:val="en-US" w:eastAsia="zh-CN"/>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2.4</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检测报告</w:t>
            </w:r>
            <w:r>
              <w:rPr>
                <w:rFonts w:hint="eastAsia" w:ascii="宋体" w:hAnsi="宋体" w:eastAsia="宋体" w:cs="宋体"/>
                <w:sz w:val="21"/>
                <w:szCs w:val="21"/>
                <w:highlight w:val="none"/>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投标人提供所投以下产品第三方检测报告，检测内容如下：</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（1）所投电梯曳引机（或主机、或马达、或驱动器）制动器，无故障实验动作次数（或运行次数）≥2000万次，得2分；1800万次≤无故障实验动作次数（或运行次数）＜2000万次，得1分；其余不得分。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（2）所投电梯光幕满足：光束≥150束或防护等级≥IP65；每满足一项得1分，最多得2分；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（3）所投电梯曳引机主要部件（机座含主轴、曳引轮、制动轮、前支撑）可承受10倍安全系数不被破坏，满足要求的得3分。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（4）所投电梯信号系统满足：按钮通过2000万次耐久性测试，试验后按钮使用正常。满足得2分，否则不得分。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（5）所投电梯控制柜通过±20kV浪涌（冲击）抗扰度测试。满足得1分，否则不得分。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（6）所投电梯门机系统模拟正常的开关门运行，疲劳试验动作次数进行打分，动作次数≥2000万次的得3分，2000万次＞动作次数≥1800万次的得2分，1800万次＞动作次数≥1600万次的得1分，其余不得分。</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（7）所投客梯曳引媒介（钢丝绳或钢带）进行简单弯折疲劳试验，</w:t>
            </w:r>
            <w:r>
              <w:rPr>
                <w:rFonts w:hint="eastAsia" w:ascii="宋体" w:hAnsi="宋体" w:eastAsia="宋体" w:cs="宋体"/>
                <w:szCs w:val="21"/>
                <w:highlight w:val="none"/>
                <w:lang w:val="en-US" w:eastAsia="zh-CN"/>
              </w:rPr>
              <w:t xml:space="preserve">1500万次</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t xml:space="preserve">标准次数</w:t>
            </w:r>
            <w:r>
              <w:rPr>
                <w:rFonts w:hint="eastAsia" w:ascii="宋体" w:hAnsi="宋体" w:eastAsia="宋体" w:cs="宋体"/>
                <w:szCs w:val="21"/>
                <w:highlight w:val="none"/>
                <w:lang w:val="en-US" w:eastAsia="zh-CN"/>
              </w:rPr>
              <w:t xml:space="preserve">＜2000万次仍符合要求得1分，2000万次</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en-US" w:eastAsia="zh-CN"/>
              </w:rPr>
              <w:t xml:space="preserve">标准次数</w:t>
            </w:r>
            <w:r>
              <w:rPr>
                <w:rFonts w:hint="eastAsia" w:ascii="宋体" w:hAnsi="宋体" w:eastAsia="宋体" w:cs="宋体"/>
                <w:szCs w:val="21"/>
                <w:highlight w:val="none"/>
                <w:lang w:val="en-US" w:eastAsia="zh-CN"/>
              </w:rPr>
              <w:t xml:space="preserve">＜2500万次仍符合要求得2分，标准次数≥2500万次仍符合要求得3分，其余不得分。</w:t>
            </w:r>
            <w:r>
              <w:rPr>
                <w:rFonts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注：1.提供所投电梯产品第三方检测报告（型式试验报告）；</w:t>
            </w:r>
            <w:r>
              <w:rPr>
                <w:rFonts w:hint="eastAsia" w:ascii="宋体" w:hAnsi="宋体" w:eastAsia="宋体" w:cs="宋体"/>
                <w:szCs w:val="21"/>
                <w:highlight w:val="none"/>
                <w:lang w:val="en-US" w:eastAsia="zh-CN"/>
              </w:rPr>
            </w:r>
            <w:r/>
          </w:p>
          <w:p>
            <w:pPr>
              <w:pStyle w:val="869"/>
              <w:jc w:val="both"/>
              <w:keepLines w:val="0"/>
              <w:keepNext w:val="0"/>
              <w:pageBreakBefore w:val="0"/>
              <w:spacing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2.所提供检测报告（型式试验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sz w:val="21"/>
                <w:szCs w:val="21"/>
                <w:highlight w:val="none"/>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13</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2.5</w:t>
            </w:r>
            <w:r>
              <w:rPr>
                <w:rFonts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拆梯方案</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w:t>
            </w:r>
            <w:r>
              <w:rPr>
                <w:rFonts w:ascii="Times New Roman" w:hAnsi="Times New Roman" w:eastAsia="宋体" w:cs="Times New Roman"/>
                <w:color w:val="000000"/>
                <w:spacing w:val="0"/>
                <w:lang w:val="en-US" w:eastAsia="zh-CN"/>
              </w:rPr>
              <w:t xml:space="preserve">包括</w:t>
            </w:r>
            <w:r>
              <w:rPr>
                <w:rFonts w:hint="eastAsia" w:ascii="Times New Roman" w:hAnsi="Times New Roman" w:eastAsia="宋体" w:cs="Times New Roman"/>
                <w:color w:val="000000"/>
                <w:spacing w:val="0"/>
                <w:lang w:val="en-US" w:eastAsia="zh-CN"/>
              </w:rPr>
              <w:t xml:space="preserve">：1.施工前的准备工作；2.电梯拆除程序；3.拆梯安全技术措施；4.安全保障措施。以上每项内容逐条阐述。</w:t>
            </w:r>
            <w:r>
              <w:rPr>
                <w:rFonts w:ascii="Times New Roman" w:hAnsi="Times New Roman" w:eastAsia="宋体" w:cs="Times New Roman"/>
                <w:color w:val="000000"/>
                <w:spacing w:val="0"/>
                <w:lang w:val="en-US" w:eastAsia="zh-CN"/>
              </w:rPr>
              <w:t xml:space="preserve"> </w:t>
            </w:r>
            <w:r>
              <w:rPr>
                <w:rFonts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hint="eastAsia" w:ascii="Times New Roman" w:hAnsi="Times New Roman" w:eastAsia="宋体" w:cs="Times New Roman"/>
                <w:color w:val="000000"/>
                <w:spacing w:val="0"/>
                <w:lang w:val="zh-CN" w:eastAsia="zh-CN"/>
              </w:rPr>
              <w:t xml:space="preserve">完整，科学性、合理性、操作性</w:t>
            </w:r>
            <w:r>
              <w:rPr>
                <w:rFonts w:hint="eastAsia" w:ascii="Times New Roman" w:hAnsi="Times New Roman" w:eastAsia="宋体" w:cs="Times New Roman"/>
                <w:color w:val="000000"/>
                <w:spacing w:val="0"/>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pacing w:val="0"/>
                <w:sz w:val="21"/>
                <w:szCs w:val="22"/>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rPr>
                <w:rFonts w:hint="eastAsia" w:ascii="宋体" w:hAnsi="宋体" w:eastAsia="宋体" w:cs="宋体"/>
                <w:szCs w:val="21"/>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3.1</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实施方案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根据本项目采购需求及相关要求编制方案，内容包含：1.</w:t>
            </w:r>
            <w:r>
              <w:rPr>
                <w:rFonts w:ascii="Times New Roman" w:hAnsi="Times New Roman" w:eastAsia="宋体" w:cs="Times New Roman"/>
                <w:color w:val="000000"/>
                <w:spacing w:val="0"/>
                <w:lang w:val="zh-CN" w:eastAsia="zh-CN"/>
              </w:rPr>
              <w:t xml:space="preserve">供货进度保证措施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2.</w:t>
            </w:r>
            <w:r>
              <w:rPr>
                <w:rFonts w:ascii="Times New Roman" w:hAnsi="Times New Roman" w:eastAsia="宋体" w:cs="Times New Roman"/>
                <w:color w:val="000000"/>
                <w:spacing w:val="0"/>
                <w:lang w:val="zh-CN" w:eastAsia="zh-CN"/>
              </w:rPr>
              <w:t xml:space="preserve">质量保证措施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3.</w:t>
            </w:r>
            <w:r>
              <w:rPr>
                <w:rFonts w:ascii="Times New Roman" w:hAnsi="Times New Roman" w:eastAsia="宋体" w:cs="Times New Roman"/>
                <w:color w:val="000000"/>
                <w:spacing w:val="0"/>
                <w:lang w:val="zh-CN" w:eastAsia="zh-CN"/>
              </w:rPr>
              <w:t xml:space="preserve">协调配合</w:t>
            </w:r>
            <w:r>
              <w:rPr>
                <w:rFonts w:ascii="Times New Roman" w:hAnsi="Times New Roman" w:eastAsia="宋体" w:cs="Times New Roman"/>
                <w:color w:val="000000"/>
                <w:spacing w:val="0"/>
                <w:lang w:val="en-US" w:eastAsia="zh-CN"/>
              </w:rPr>
              <w:t xml:space="preserve">措施</w:t>
            </w:r>
            <w:r>
              <w:rPr>
                <w:rFonts w:hint="eastAsia" w:ascii="Times New Roman" w:hAnsi="Times New Roman" w:eastAsia="宋体" w:cs="Times New Roman"/>
                <w:color w:val="000000"/>
                <w:spacing w:val="0"/>
                <w:lang w:val="zh-CN" w:eastAsia="zh-CN"/>
              </w:rPr>
              <w:t xml:space="preserve">；</w:t>
            </w:r>
            <w:r>
              <w:rPr>
                <w:rFonts w:hint="eastAsia" w:ascii="Times New Roman" w:hAnsi="Times New Roman" w:eastAsia="宋体" w:cs="Times New Roman"/>
                <w:color w:val="000000"/>
                <w:spacing w:val="0"/>
                <w:lang w:val="en-US" w:eastAsia="zh-CN"/>
              </w:rPr>
              <w:t xml:space="preserve">4.</w:t>
            </w:r>
            <w:r>
              <w:rPr>
                <w:rFonts w:ascii="Times New Roman" w:hAnsi="Times New Roman" w:eastAsia="宋体" w:cs="Times New Roman"/>
                <w:color w:val="000000"/>
                <w:spacing w:val="0"/>
                <w:lang w:val="zh-CN" w:eastAsia="zh-CN"/>
              </w:rPr>
              <w:t xml:space="preserve">应急措施</w:t>
            </w:r>
            <w:r>
              <w:rPr>
                <w:rFonts w:hint="eastAsia" w:ascii="Times New Roman" w:hAnsi="Times New Roman" w:eastAsia="宋体" w:cs="Times New Roman"/>
                <w:color w:val="000000"/>
                <w:spacing w:val="0"/>
                <w:lang w:val="en-US" w:eastAsia="zh-CN"/>
              </w:rPr>
              <w:t xml:space="preserve">。以上每项内容逐条阐述。</w:t>
            </w:r>
            <w:r>
              <w:rPr>
                <w:rFonts w:hint="eastAsia"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hint="eastAsia" w:ascii="Times New Roman" w:hAnsi="Times New Roman" w:eastAsia="宋体" w:cs="Times New Roman"/>
                <w:color w:val="000000"/>
                <w:spacing w:val="0"/>
                <w:lang w:val="zh-CN" w:eastAsia="zh-CN"/>
              </w:rPr>
              <w:t xml:space="preserve">完整，科学性、合理性、操作性</w:t>
            </w:r>
            <w:r>
              <w:rPr>
                <w:rFonts w:hint="eastAsia" w:ascii="Times New Roman" w:hAnsi="Times New Roman" w:eastAsia="宋体" w:cs="Times New Roman"/>
                <w:color w:val="000000"/>
                <w:spacing w:val="0"/>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zh-CN"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pacing w:val="0"/>
                <w:lang w:val="zh-CN"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3.2</w:t>
            </w:r>
            <w:r>
              <w:rPr>
                <w:rFonts w:hint="eastAsia" w:ascii="宋体" w:hAnsi="宋体" w:eastAsia="宋体" w:cs="宋体"/>
                <w:spacing w:val="-2"/>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售后服务方案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9"/>
              <w:jc w:val="both"/>
              <w:keepLines w:val="0"/>
              <w:keepNext w:val="0"/>
              <w:pageBreakBefore w:val="0"/>
              <w:spacing w:before="0" w:line="264" w:lineRule="auto"/>
              <w:widowControl w:val="off"/>
              <w:rPr>
                <w:rFonts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根据本项目采购需求及相关要求编制方案，内容</w:t>
            </w:r>
            <w:r>
              <w:rPr>
                <w:rFonts w:ascii="Times New Roman" w:hAnsi="Times New Roman" w:eastAsia="宋体" w:cs="Times New Roman"/>
                <w:color w:val="000000"/>
                <w:spacing w:val="0"/>
                <w:lang w:val="en-US" w:eastAsia="zh-CN"/>
              </w:rPr>
              <w:t xml:space="preserve">包括</w:t>
            </w:r>
            <w:r>
              <w:rPr>
                <w:rFonts w:hint="eastAsia" w:ascii="Times New Roman" w:hAnsi="Times New Roman" w:eastAsia="宋体" w:cs="Times New Roman"/>
                <w:color w:val="000000"/>
                <w:spacing w:val="0"/>
                <w:lang w:val="en-US" w:eastAsia="zh-CN"/>
              </w:rPr>
              <w:t xml:space="preserve">：1.</w:t>
            </w:r>
            <w:r>
              <w:rPr>
                <w:rFonts w:ascii="Times New Roman" w:hAnsi="Times New Roman" w:eastAsia="宋体" w:cs="Times New Roman"/>
                <w:color w:val="000000"/>
                <w:spacing w:val="0"/>
                <w:lang w:val="en-US" w:eastAsia="zh-CN"/>
              </w:rPr>
              <w:t xml:space="preserve">服务内容</w:t>
            </w:r>
            <w:r>
              <w:rPr>
                <w:rFonts w:hint="eastAsia" w:ascii="Times New Roman" w:hAnsi="Times New Roman" w:eastAsia="宋体" w:cs="Times New Roman"/>
                <w:color w:val="000000"/>
                <w:spacing w:val="0"/>
                <w:lang w:val="en-US" w:eastAsia="zh-CN"/>
              </w:rPr>
              <w:t xml:space="preserve">；2.</w:t>
            </w:r>
            <w:r>
              <w:rPr>
                <w:rFonts w:ascii="Times New Roman" w:hAnsi="Times New Roman" w:eastAsia="宋体" w:cs="Times New Roman"/>
                <w:color w:val="000000"/>
                <w:spacing w:val="0"/>
                <w:lang w:val="en-US" w:eastAsia="zh-CN"/>
              </w:rPr>
              <w:t xml:space="preserve">故障解决方案</w:t>
            </w:r>
            <w:r>
              <w:rPr>
                <w:rFonts w:hint="eastAsia" w:ascii="Times New Roman" w:hAnsi="Times New Roman" w:eastAsia="宋体" w:cs="Times New Roman"/>
                <w:color w:val="000000"/>
                <w:spacing w:val="0"/>
                <w:lang w:val="en-US" w:eastAsia="zh-CN"/>
              </w:rPr>
              <w:t xml:space="preserve">；3.装备及备品备件；4.</w:t>
            </w:r>
            <w:r>
              <w:rPr>
                <w:rFonts w:ascii="Times New Roman" w:hAnsi="Times New Roman" w:eastAsia="宋体" w:cs="Times New Roman"/>
                <w:color w:val="000000"/>
                <w:spacing w:val="0"/>
                <w:lang w:val="en-US" w:eastAsia="zh-CN"/>
              </w:rPr>
              <w:t xml:space="preserve">技术人员保障</w:t>
            </w:r>
            <w:r>
              <w:rPr>
                <w:rFonts w:hint="eastAsia" w:ascii="Times New Roman" w:hAnsi="Times New Roman" w:eastAsia="宋体" w:cs="Times New Roman"/>
                <w:color w:val="000000"/>
                <w:spacing w:val="0"/>
                <w:lang w:val="en-US" w:eastAsia="zh-CN"/>
              </w:rPr>
              <w:t xml:space="preserve">。以上每项内容逐条阐述。</w:t>
            </w:r>
            <w:r>
              <w:rPr>
                <w:rFonts w:ascii="Times New Roman" w:hAnsi="Times New Roman" w:eastAsia="宋体" w:cs="Times New Roman"/>
                <w:color w:val="000000"/>
                <w:spacing w:val="0"/>
                <w:lang w:val="en-US" w:eastAsia="zh-CN"/>
              </w:rPr>
              <w:t xml:space="preserve"> </w:t>
            </w:r>
            <w:r>
              <w:rPr>
                <w:rFonts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方案内容</w:t>
            </w:r>
            <w:r>
              <w:rPr>
                <w:rFonts w:hint="eastAsia" w:ascii="Times New Roman" w:hAnsi="Times New Roman" w:eastAsia="宋体" w:cs="Times New Roman"/>
                <w:color w:val="000000"/>
                <w:spacing w:val="0"/>
                <w:lang w:val="zh-CN" w:eastAsia="zh-CN"/>
              </w:rPr>
              <w:t xml:space="preserve">完整，科学性、合理性、操作性</w:t>
            </w:r>
            <w:r>
              <w:rPr>
                <w:rFonts w:hint="eastAsia" w:ascii="Times New Roman" w:hAnsi="Times New Roman" w:eastAsia="宋体" w:cs="Times New Roman"/>
                <w:color w:val="000000"/>
                <w:spacing w:val="0"/>
                <w:lang w:val="en-US" w:eastAsia="zh-CN"/>
              </w:rPr>
              <w:t xml:space="preserve">强，且专门针对本项目，契合采购需求视为符合；方案内容属于通用类，非专门针对本项目，部分契合采购需求视为部分符合；方案内容非专门针对本项目，脱离采购需求视为不符合。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pacing w:val="0"/>
                <w:lang w:val="en-US" w:eastAsia="zh-CN"/>
              </w:rPr>
            </w:r>
            <w:r/>
          </w:p>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val="en-US" w:eastAsia="zh-CN"/>
              </w:rPr>
              <w:t xml:space="preserve">上述每项内容符合得2分；部分符合得1分；不符合或不提供不得分。</w:t>
            </w:r>
            <w:r>
              <w:rPr>
                <w:rFonts w:hint="eastAsia" w:ascii="Times New Roman" w:hAnsi="Times New Roman" w:eastAsia="宋体" w:cs="Times New Roman"/>
                <w:color w:val="000000"/>
                <w:spacing w:val="0"/>
                <w:lang w:val="en-US" w:eastAsia="zh-CN"/>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8</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Cs w:val="21"/>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3.3</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培训方案</w:t>
            </w:r>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根据本项目采购需求及相关要求编制方案，内容</w:t>
            </w:r>
            <w:r>
              <w:rPr>
                <w:rFonts w:ascii="Times New Roman" w:hAnsi="Times New Roman" w:eastAsia="宋体" w:cs="Times New Roman"/>
                <w:color w:val="000000"/>
                <w:sz w:val="21"/>
                <w:szCs w:val="21"/>
                <w:lang w:val="en-US" w:eastAsia="zh-CN" w:bidi="ar-SA"/>
              </w:rPr>
              <w:t xml:space="preserve">包括</w:t>
            </w:r>
            <w:r>
              <w:rPr>
                <w:rFonts w:hint="eastAsia" w:ascii="Times New Roman" w:hAnsi="Times New Roman" w:eastAsia="宋体" w:cs="Times New Roman"/>
                <w:color w:val="000000"/>
                <w:sz w:val="21"/>
                <w:szCs w:val="21"/>
                <w:lang w:val="en-US" w:eastAsia="zh-CN" w:bidi="ar-SA"/>
              </w:rPr>
              <w:t xml:space="preserve">：1.</w:t>
            </w:r>
            <w:r>
              <w:rPr>
                <w:rFonts w:ascii="Times New Roman" w:hAnsi="Times New Roman" w:eastAsia="宋体" w:cs="Times New Roman"/>
                <w:color w:val="000000"/>
                <w:sz w:val="21"/>
                <w:szCs w:val="21"/>
                <w:lang w:val="en-US" w:eastAsia="zh-CN" w:bidi="ar-SA"/>
              </w:rPr>
              <w:t xml:space="preserve">培训</w:t>
            </w:r>
            <w:r>
              <w:rPr>
                <w:rFonts w:hint="eastAsia" w:ascii="Times New Roman" w:hAnsi="Times New Roman" w:eastAsia="宋体" w:cs="Times New Roman"/>
                <w:color w:val="000000"/>
                <w:sz w:val="21"/>
                <w:szCs w:val="21"/>
                <w:lang w:val="en-US" w:eastAsia="zh-CN" w:bidi="ar-SA"/>
              </w:rPr>
              <w:t xml:space="preserve">内容；2.培训方式；3.培训频次级时长；4.培训</w:t>
            </w:r>
            <w:r>
              <w:rPr>
                <w:rFonts w:ascii="Times New Roman" w:hAnsi="Times New Roman" w:eastAsia="宋体" w:cs="Times New Roman"/>
                <w:color w:val="000000"/>
                <w:sz w:val="21"/>
                <w:szCs w:val="21"/>
                <w:lang w:val="en-US" w:eastAsia="zh-CN" w:bidi="ar-SA"/>
              </w:rPr>
              <w:t xml:space="preserve">师资</w:t>
            </w:r>
            <w:r>
              <w:rPr>
                <w:rFonts w:hint="eastAsia" w:ascii="Times New Roman" w:hAnsi="Times New Roman" w:eastAsia="宋体" w:cs="Times New Roman"/>
                <w:color w:val="000000"/>
                <w:sz w:val="21"/>
                <w:szCs w:val="21"/>
                <w:lang w:val="en-US" w:eastAsia="zh-CN" w:bidi="ar-SA"/>
              </w:rPr>
              <w:t xml:space="preserve">。以上每项内容逐条阐述。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69"/>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方案内容</w:t>
            </w:r>
            <w:r>
              <w:rPr>
                <w:rFonts w:ascii="Times New Roman" w:hAnsi="Times New Roman" w:eastAsia="宋体" w:cs="Times New Roman"/>
                <w:color w:val="000000"/>
                <w:sz w:val="21"/>
                <w:szCs w:val="21"/>
                <w:lang w:val="en-US" w:eastAsia="zh-CN" w:bidi="ar-SA"/>
              </w:rPr>
              <w:t xml:space="preserve">完整、操作性强</w:t>
            </w:r>
            <w:r>
              <w:rPr>
                <w:rFonts w:hint="eastAsia" w:ascii="Times New Roman" w:hAnsi="Times New Roman" w:eastAsia="宋体" w:cs="Times New Roman"/>
                <w:color w:val="000000"/>
                <w:sz w:val="21"/>
                <w:szCs w:val="21"/>
                <w:lang w:val="en-US" w:eastAsia="zh-CN" w:bidi="ar-SA"/>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1"/>
                <w:lang w:val="en-US" w:eastAsia="zh-CN" w:bidi="ar-SA"/>
              </w:rPr>
            </w:r>
            <w:r/>
          </w:p>
          <w:p>
            <w:pPr>
              <w:pStyle w:val="869"/>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pacing w:val="0"/>
                <w:lang w:val="en-US" w:eastAsia="zh-CN"/>
              </w:rPr>
              <w:t xml:space="preserve">上述每项内容符合得1分；部分符合得0.5分；不符合或不提供不得分。</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color w:val="000000"/>
                <w:sz w:val="21"/>
                <w:szCs w:val="21"/>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bidi="ar-SA"/>
              </w:rPr>
            </w:pPr>
            <w:r>
              <w:rPr>
                <w:rFonts w:hint="eastAsia" w:ascii="宋体" w:hAnsi="宋体" w:eastAsia="宋体" w:cs="宋体"/>
                <w:spacing w:val="-6"/>
                <w:szCs w:val="21"/>
                <w:lang w:val="en-US" w:eastAsia="zh-CN"/>
              </w:rPr>
              <w:t xml:space="preserve">主观分</w:t>
            </w:r>
            <w:r>
              <w:rPr>
                <w:rFonts w:hint="eastAsia" w:ascii="宋体" w:hAnsi="宋体" w:eastAsia="宋体" w:cs="宋体"/>
                <w:spacing w:val="-6"/>
                <w:sz w:val="21"/>
                <w:szCs w:val="21"/>
                <w:lang w:val="en-US" w:eastAsia="zh-CN" w:bidi="ar-SA"/>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3.4</w:t>
            </w:r>
            <w:r>
              <w:rPr>
                <w:rFonts w:ascii="宋体" w:hAnsi="宋体" w:eastAsia="宋体" w:cs="宋体"/>
                <w:spacing w:val="-2"/>
                <w:szCs w:val="21"/>
                <w:lang w:val="en-US" w:eastAsia="zh-CN"/>
              </w:rPr>
            </w:r>
            <w:r/>
          </w:p>
        </w:tc>
        <w:tc>
          <w:tcPr>
            <w:tcW w:w="1179"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质保承诺</w:t>
            </w:r>
            <w:r>
              <w:rPr>
                <w:rFonts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bidi="ar-SA"/>
              </w:rPr>
              <w:t xml:space="preserve">投标人承诺提供整梯质保4年得0.5分，5年得1分，6年得1.5分，7年及以上得2分，电梯维修保养及配件更换，电梯年度报检、检测费、保险等相关费用包含在投标总价中（提供加盖投标人公章的承诺函，格式自拟）</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ascii="宋体" w:hAnsi="宋体" w:eastAsia="宋体" w:cs="宋体"/>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rPr>
                <w:rFonts w:hint="eastAsia" w:ascii="宋体" w:hAnsi="宋体" w:eastAsia="宋体" w:cs="宋体"/>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rPr>
                <w:rFonts w:hint="eastAsia" w:ascii="宋体" w:hAnsi="宋体" w:eastAsia="宋体" w:cs="宋体"/>
                <w:spacing w:val="-2"/>
                <w:szCs w:val="21"/>
              </w:rPr>
            </w:r>
            <w:r/>
          </w:p>
        </w:tc>
        <w:tc>
          <w:tcPr>
            <w:tcW w:w="1179" w:type="dxa"/>
            <w:vAlign w:val="center"/>
            <w:textDirection w:val="lrTb"/>
            <w:noWrap w:val="false"/>
          </w:tcPr>
          <w:p>
            <w:pPr>
              <w:pStyle w:val="869"/>
              <w:spacing w:before="69" w:line="264" w:lineRule="auto"/>
              <w:rPr>
                <w:rFonts w:hint="eastAsia" w:eastAsia="宋体"/>
                <w:color w:val="000000"/>
                <w:szCs w:val="21"/>
                <w:lang w:val="en-US" w:eastAsia="zh-CN"/>
              </w:rPr>
            </w:pPr>
            <w:r>
              <w:rPr>
                <w:rFonts w:hint="eastAsia" w:ascii="宋体" w:hAnsi="宋体" w:eastAsia="宋体" w:cs="宋体"/>
                <w:color w:val="000000"/>
                <w:spacing w:val="-1"/>
                <w:szCs w:val="21"/>
                <w:lang w:val="en-US" w:eastAsia="zh-CN"/>
              </w:rPr>
              <w:t xml:space="preserve">产品业绩</w:t>
            </w:r>
            <w:r>
              <w:rPr>
                <w:rFonts w:hint="eastAsia" w:eastAsia="宋体"/>
                <w:color w:val="000000"/>
                <w:szCs w:val="21"/>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color w:val="000000"/>
                <w:sz w:val="21"/>
                <w:szCs w:val="21"/>
                <w:lang w:val="en-US" w:eastAsia="zh-CN" w:bidi="ar-SA"/>
              </w:rPr>
              <w:t xml:space="preserve">投标人或所投产品制造商具有</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lang w:val="en-US" w:eastAsia="zh-CN" w:bidi="ar-SA"/>
              </w:rPr>
              <w:t xml:space="preserve">（含）以来类似产品业绩，每提供1个得1分，最多得3分。（时间以合同签订时间为准，提供有效合同，合同页须清晰可见相应内容）</w:t>
            </w:r>
            <w:r>
              <w:rPr>
                <w:rFonts w:ascii="宋体" w:hAnsi="宋体" w:eastAsia="宋体" w:cs="宋体"/>
                <w:color w:val="000000"/>
                <w:sz w:val="21"/>
                <w:szCs w:val="21"/>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5.履约能力</w:t>
            </w:r>
            <w:r>
              <w:rPr>
                <w:rFonts w:hint="eastAsia" w:ascii="宋体" w:hAnsi="宋体" w:eastAsia="宋体" w:cs="宋体"/>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Cs w:val="21"/>
              </w:rPr>
            </w:pPr>
            <w:r>
              <w:rPr>
                <w:rFonts w:hint="eastAsia" w:ascii="宋体" w:hAnsi="宋体" w:eastAsia="宋体" w:cs="宋体"/>
                <w:color w:val="000000"/>
                <w:spacing w:val="-2"/>
                <w:szCs w:val="21"/>
                <w:lang w:val="en-US" w:eastAsia="zh-CN"/>
              </w:rPr>
              <w:t xml:space="preserve">5</w:t>
            </w:r>
            <w:r>
              <w:rPr>
                <w:rFonts w:hint="eastAsia" w:ascii="宋体" w:hAnsi="宋体" w:eastAsia="宋体" w:cs="宋体"/>
                <w:color w:val="000000"/>
                <w:spacing w:val="-2"/>
                <w:szCs w:val="21"/>
              </w:rPr>
              <w:t xml:space="preserve">.1</w:t>
            </w:r>
            <w:r>
              <w:rPr>
                <w:rFonts w:hint="eastAsia" w:ascii="宋体" w:hAnsi="宋体" w:eastAsia="宋体" w:cs="宋体"/>
                <w:color w:val="000000"/>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color w:val="0000ff"/>
                <w:sz w:val="21"/>
                <w:szCs w:val="21"/>
                <w:lang w:val="en-US" w:eastAsia="zh-CN" w:bidi="ar-SA"/>
              </w:rPr>
            </w:pPr>
            <w:r>
              <w:rPr>
                <w:rFonts w:hint="eastAsia" w:ascii="宋体" w:hAnsi="宋体" w:eastAsia="宋体" w:cs="宋体"/>
                <w:szCs w:val="21"/>
                <w:highlight w:val="none"/>
                <w:lang w:val="en-US" w:eastAsia="zh-CN"/>
              </w:rPr>
              <w:t xml:space="preserve">投标人拟投入本项目电梯维保提供信息化服务、提供重大节假日现场保障的，每提供1个得1分，最多得2分（提供承诺书，格式自拟）。</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color w:val="000000"/>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rPr>
              <w:t xml:space="preserve">.2</w:t>
            </w:r>
            <w:r>
              <w:rPr>
                <w:rFonts w:hint="eastAsia" w:ascii="宋体" w:hAnsi="宋体" w:eastAsia="宋体" w:cs="宋体"/>
                <w:spacing w:val="-2"/>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 w:val="21"/>
                <w:szCs w:val="21"/>
                <w:lang w:val="en-US" w:eastAsia="zh-CN" w:bidi="ar-SA"/>
              </w:rPr>
            </w:r>
            <w:r/>
          </w:p>
        </w:tc>
        <w:tc>
          <w:tcPr>
            <w:tcW w:w="6330" w:type="dxa"/>
            <w:vAlign w:val="center"/>
            <w:textDirection w:val="lrTb"/>
            <w:noWrap w:val="false"/>
          </w:tcPr>
          <w:p>
            <w:pPr>
              <w:pStyle w:val="869"/>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投标人或所投产品制造商：</w:t>
            </w:r>
            <w:r>
              <w:rPr>
                <w:rFonts w:hint="eastAsia" w:ascii="宋体" w:hAnsi="宋体" w:eastAsia="宋体" w:cs="宋体"/>
                <w:sz w:val="21"/>
                <w:szCs w:val="21"/>
                <w:lang w:val="en-US" w:eastAsia="zh-CN" w:bidi="ar-SA"/>
              </w:rPr>
            </w:r>
            <w:r/>
          </w:p>
          <w:p>
            <w:pPr>
              <w:pStyle w:val="869"/>
              <w:jc w:val="both"/>
              <w:spacing w:line="264" w:lineRule="auto"/>
              <w:widowControl w:val="off"/>
              <w:rPr>
                <w:rFonts w:hint="eastAsia"/>
                <w:color w:val="000000"/>
                <w:lang w:val="en-US" w:eastAsia="zh-CN"/>
              </w:rPr>
            </w:pPr>
            <w:r>
              <w:rPr>
                <w:rFonts w:hint="eastAsia" w:ascii="宋体" w:hAnsi="宋体" w:eastAsia="宋体" w:cs="宋体"/>
                <w:sz w:val="21"/>
                <w:szCs w:val="21"/>
                <w:lang w:val="en-US" w:eastAsia="zh-CN" w:bidi="ar-SA"/>
              </w:rPr>
              <w:t xml:space="preserve">（1）投保</w:t>
            </w:r>
            <w:r>
              <w:rPr>
                <w:rFonts w:hint="eastAsia"/>
                <w:color w:val="000000"/>
                <w:lang w:val="en-US" w:eastAsia="zh-CN"/>
              </w:rPr>
              <w:t xml:space="preserve">所投</w:t>
            </w:r>
            <w:r>
              <w:rPr>
                <w:rFonts w:hint="eastAsia"/>
                <w:color w:val="000000"/>
              </w:rPr>
              <w:t xml:space="preserve">产品电梯责任保险</w:t>
            </w:r>
            <w:r>
              <w:rPr>
                <w:rFonts w:hint="eastAsia"/>
                <w:color w:val="000000"/>
                <w:lang w:val="en-US" w:eastAsia="zh-CN"/>
              </w:rPr>
              <w:t xml:space="preserve">，得2分；</w:t>
            </w:r>
            <w:r>
              <w:rPr>
                <w:rFonts w:hint="eastAsia"/>
                <w:color w:val="000000"/>
                <w:lang w:val="en-US" w:eastAsia="zh-CN"/>
              </w:rPr>
            </w:r>
            <w:r/>
          </w:p>
          <w:p>
            <w:pPr>
              <w:pStyle w:val="869"/>
              <w:jc w:val="both"/>
              <w:spacing w:line="264" w:lineRule="auto"/>
              <w:widowControl w:val="off"/>
              <w:rPr>
                <w:color w:val="000000"/>
                <w:lang w:val="en-US" w:eastAsia="zh-CN"/>
              </w:rPr>
            </w:pPr>
            <w:r>
              <w:rPr>
                <w:rFonts w:hint="eastAsia"/>
                <w:color w:val="000000"/>
                <w:lang w:eastAsia="zh-CN"/>
              </w:rPr>
              <w:t xml:space="preserve">（</w:t>
            </w:r>
            <w:r>
              <w:rPr>
                <w:rFonts w:hint="eastAsia"/>
                <w:color w:val="000000"/>
                <w:lang w:val="en-US" w:eastAsia="zh-CN"/>
              </w:rPr>
              <w:t xml:space="preserve">2）</w:t>
            </w:r>
            <w:r>
              <w:rPr>
                <w:rFonts w:hint="eastAsia"/>
                <w:color w:val="000000"/>
              </w:rPr>
              <w:t xml:space="preserve">每次事故赔偿额度≥1000万的得</w:t>
            </w:r>
            <w:r>
              <w:rPr>
                <w:rFonts w:hint="eastAsia"/>
                <w:color w:val="000000"/>
                <w:lang w:val="en-US" w:eastAsia="zh-CN"/>
              </w:rPr>
              <w:t xml:space="preserve">3分。</w:t>
            </w:r>
            <w:r>
              <w:rPr>
                <w:color w:val="000000"/>
                <w:lang w:val="en-US" w:eastAsia="zh-CN"/>
              </w:rPr>
            </w:r>
            <w:r/>
          </w:p>
          <w:p>
            <w:pPr>
              <w:pStyle w:val="869"/>
              <w:jc w:val="both"/>
              <w:spacing w:line="264" w:lineRule="auto"/>
              <w:widowControl w:val="off"/>
              <w:rPr>
                <w:rFonts w:hint="eastAsia" w:ascii="宋体" w:hAnsi="宋体" w:eastAsia="宋体" w:cs="宋体"/>
                <w:color w:val="0000ff"/>
                <w:sz w:val="21"/>
                <w:szCs w:val="21"/>
                <w:lang w:val="en-US" w:eastAsia="zh-CN" w:bidi="ar-SA"/>
              </w:rPr>
            </w:pPr>
            <w:r>
              <w:rPr>
                <w:rFonts w:hint="eastAsia"/>
                <w:color w:val="000000"/>
                <w:lang w:val="en-US" w:eastAsia="zh-CN"/>
              </w:rPr>
              <w:t xml:space="preserve">（</w:t>
            </w:r>
            <w:r>
              <w:rPr>
                <w:rFonts w:hint="eastAsia" w:ascii="宋体" w:hAnsi="宋体" w:eastAsia="宋体" w:cs="宋体"/>
                <w:sz w:val="21"/>
                <w:szCs w:val="21"/>
                <w:lang w:val="en-US" w:eastAsia="zh-CN" w:bidi="ar-SA"/>
              </w:rPr>
              <w:t xml:space="preserve">提供在有效期限内保险凭证或承诺函，承诺函格式自拟）</w:t>
            </w:r>
            <w:r>
              <w:rPr>
                <w:rFonts w:hint="eastAsia" w:ascii="宋体" w:hAnsi="宋体" w:eastAsia="宋体" w:cs="宋体"/>
                <w:color w:val="0000ff"/>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rPr>
                <w:rFonts w:hint="eastAsia" w:ascii="宋体" w:hAnsi="宋体" w:eastAsia="宋体" w:cs="宋体"/>
                <w:color w:val="ff0000"/>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rPr>
                <w:rFonts w:hint="eastAsia" w:ascii="宋体" w:hAnsi="宋体" w:eastAsia="宋体" w:cs="宋体"/>
                <w:color w:val="000000"/>
                <w:szCs w:val="21"/>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8"/>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8"/>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rPr>
          <w:rFonts w:hint="eastAsia"/>
          <w:lang w:val="en-US" w:eastAsia="zh-CN"/>
        </w:rPr>
      </w:r>
      <w:r/>
    </w:p>
    <w:p>
      <w:pPr>
        <w:pStyle w:val="938"/>
        <w:rPr>
          <w:rFonts w:hint="eastAsia"/>
          <w:lang w:val="en-US" w:eastAsia="zh-CN"/>
        </w:rPr>
      </w:pPr>
      <w:r>
        <w:rPr>
          <w:rFonts w:hint="eastAsia"/>
          <w:lang w:val="en-US" w:eastAsia="zh-CN"/>
        </w:rPr>
      </w:r>
      <w:r/>
    </w:p>
    <w:p>
      <w:pPr>
        <w:pStyle w:val="869"/>
        <w:spacing w:line="480" w:lineRule="exact"/>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869"/>
        <w:ind w:right="840"/>
        <w:jc w:val="center"/>
        <w:spacing w:before="0" w:after="0" w:line="240" w:lineRule="auto"/>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第六章  投标</w:t>
      </w:r>
      <w:bookmarkEnd w:id="194"/>
      <w:r/>
      <w:bookmarkEnd w:id="195"/>
      <w:r>
        <w:rPr>
          <w:rFonts w:hint="eastAsia" w:ascii="Arial Unicode MS" w:hAnsi="Arial Unicode MS" w:eastAsia="Arial Unicode MS" w:cs="Arial Unicode MS"/>
          <w:color w:val="000000"/>
          <w:sz w:val="36"/>
          <w:szCs w:val="36"/>
        </w:rPr>
        <w:t xml:space="preserve">文件格式 </w:t>
      </w:r>
      <w:r>
        <w:rPr>
          <w:rFonts w:hint="eastAsia" w:ascii="Arial Unicode MS" w:hAnsi="Arial Unicode MS" w:eastAsia="Arial Unicode MS" w:cs="Arial Unicode MS"/>
          <w:color w:val="000000"/>
          <w:sz w:val="36"/>
          <w:szCs w:val="36"/>
        </w:rPr>
      </w:r>
      <w:r/>
    </w:p>
    <w:p>
      <w:pPr>
        <w:pStyle w:val="869"/>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26554094"/>
      <w:r/>
      <w:bookmarkStart w:id="202" w:name="_Toc120614282"/>
      <w:r/>
      <w:bookmarkStart w:id="203" w:name="_Toc49090576"/>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rPr>
          <w:rFonts w:hint="eastAsia" w:ascii="Arial Unicode MS" w:hAnsi="Arial Unicode MS" w:eastAsia="Arial Unicode MS" w:cs="Arial Unicode MS"/>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法人授权书</w:t>
      </w:r>
      <w:r>
        <w:rPr>
          <w:rFonts w:hint="eastAsia" w:ascii="Arial Unicode MS" w:hAnsi="Arial Unicode MS" w:eastAsia="Arial Unicode MS" w:cs="Arial Unicode MS"/>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955070"/>
      <w:r/>
      <w:bookmarkEnd w:id="206"/>
      <w:r/>
      <w:bookmarkStart w:id="207" w:name="_Hlt26671380"/>
      <w:r/>
      <w:bookmarkEnd w:id="207"/>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84"/>
        <w:ind w:firstLine="0"/>
        <w:rPr>
          <w:rFonts w:hint="eastAsia"/>
        </w:rPr>
      </w:pPr>
      <w:r>
        <w:rPr>
          <w:rFonts w:hint="eastAsia"/>
        </w:rPr>
      </w:r>
      <w:r/>
    </w:p>
    <w:p>
      <w:pPr>
        <w:pStyle w:val="884"/>
        <w:ind w:firstLine="0"/>
        <w:rPr>
          <w:rFonts w:hint="eastAsia"/>
        </w:rPr>
      </w:pPr>
      <w:r>
        <w:rPr>
          <w:rFonts w:hint="eastAsia"/>
        </w:rPr>
      </w:r>
      <w:r/>
    </w:p>
    <w:p>
      <w:pPr>
        <w:pStyle w:val="884"/>
        <w:ind w:firstLine="0"/>
        <w:rPr>
          <w:rFonts w:hint="eastAsia"/>
        </w:rPr>
      </w:pPr>
      <w:r>
        <w:rPr>
          <w:rFonts w:hint="eastAsia"/>
        </w:rPr>
      </w:r>
      <w:r/>
    </w:p>
    <w:p>
      <w:pPr>
        <w:pStyle w:val="884"/>
        <w:ind w:firstLine="0"/>
        <w:rPr>
          <w:rFonts w:hint="eastAsia"/>
        </w:rPr>
      </w:pPr>
      <w:r>
        <w:rPr>
          <w:rFonts w:hint="eastAsia"/>
        </w:rPr>
      </w:r>
      <w:r/>
    </w:p>
    <w:p>
      <w:pPr>
        <w:pStyle w:val="884"/>
        <w:ind w:firstLine="0"/>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eastAsia="zh-CN"/>
        </w:rPr>
        <w:t xml:space="preserve">投标函</w:t>
      </w:r>
      <w:r>
        <w:rPr>
          <w:rFonts w:hint="eastAsia" w:ascii="Arial Unicode MS" w:hAnsi="Arial Unicode MS" w:eastAsia="Arial Unicode MS" w:cs="Arial Unicode MS"/>
          <w:color w:val="000000"/>
          <w:sz w:val="32"/>
          <w:szCs w:val="32"/>
          <w:lang w:val="en-US"/>
        </w:rPr>
      </w:r>
      <w:r/>
    </w:p>
    <w:p>
      <w:pPr>
        <w:pStyle w:val="959"/>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8"/>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59"/>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开标一览表</w:t>
      </w:r>
      <w:r>
        <w:rPr>
          <w:rFonts w:hint="eastAsia" w:ascii="Arial Unicode MS" w:hAnsi="Arial Unicode MS" w:eastAsia="Arial Unicode MS" w:cs="Arial Unicode MS"/>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核心产品</w:t>
      </w:r>
      <w:r>
        <w:rPr>
          <w:rFonts w:hint="eastAsia" w:ascii="Arial Unicode MS" w:hAnsi="Arial Unicode MS" w:eastAsia="Arial Unicode MS" w:cs="Arial Unicode MS"/>
          <w:color w:val="000000"/>
          <w:sz w:val="32"/>
          <w:szCs w:val="32"/>
          <w:lang w:val="en-US" w:eastAsia="zh-CN"/>
        </w:rPr>
        <w:t xml:space="preserve">品牌</w:t>
      </w:r>
      <w:r>
        <w:rPr>
          <w:rFonts w:hint="eastAsia" w:ascii="Arial Unicode MS" w:hAnsi="Arial Unicode MS" w:eastAsia="Arial Unicode MS" w:cs="Arial Unicode MS"/>
          <w:color w:val="000000"/>
          <w:sz w:val="32"/>
          <w:szCs w:val="32"/>
          <w:lang w:val="en-US"/>
        </w:rPr>
        <w:t xml:space="preserve">一览表</w:t>
      </w:r>
      <w:r>
        <w:rPr>
          <w:rFonts w:hint="eastAsia" w:ascii="Arial Unicode MS" w:hAnsi="Arial Unicode MS" w:eastAsia="Arial Unicode MS" w:cs="Arial Unicode MS"/>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Arial Unicode MS" w:hAnsi="Arial Unicode MS" w:eastAsia="Arial Unicode MS" w:cs="Arial Unicode MS"/>
          <w:color w:val="000000"/>
          <w:sz w:val="32"/>
          <w:szCs w:val="32"/>
          <w:lang w:val="en-US" w:eastAsia="zh-CN"/>
        </w:rPr>
      </w:pPr>
      <w:r>
        <w:rPr>
          <w:rFonts w:hint="eastAsia" w:ascii="Arial Unicode MS" w:hAnsi="Arial Unicode MS" w:eastAsia="Arial Unicode MS" w:cs="Arial Unicode MS"/>
          <w:color w:val="000000"/>
          <w:sz w:val="32"/>
          <w:szCs w:val="32"/>
          <w:lang w:val="en-US" w:eastAsia="zh-CN"/>
        </w:rPr>
        <w:t xml:space="preserve">投标分项报价表</w:t>
      </w:r>
      <w:r>
        <w:rPr>
          <w:rFonts w:hint="eastAsia" w:ascii="Arial Unicode MS" w:hAnsi="Arial Unicode MS" w:eastAsia="Arial Unicode MS" w:cs="Arial Unicode MS"/>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2"/>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技术要求响应及偏离表</w:t>
      </w:r>
      <w:r>
        <w:rPr>
          <w:rFonts w:hint="eastAsia" w:ascii="Arial Unicode MS" w:hAnsi="Arial Unicode MS" w:eastAsia="Arial Unicode MS" w:cs="Arial Unicode MS"/>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2"/>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Arial Unicode MS" w:hAnsi="Arial Unicode MS" w:eastAsia="Arial Unicode MS" w:cs="Arial Unicode MS"/>
          <w:b w:val="0"/>
          <w:bCs w:val="0"/>
          <w:sz w:val="32"/>
          <w:szCs w:val="32"/>
          <w:lang w:val="en-US" w:eastAsia="zh-CN"/>
        </w:rPr>
        <w:outlineLvl w:val="2"/>
      </w:pPr>
      <w:r>
        <w:rPr>
          <w:rFonts w:hint="eastAsia" w:ascii="Arial Unicode MS" w:hAnsi="Arial Unicode MS" w:eastAsia="Arial Unicode MS" w:cs="Arial Unicode MS"/>
          <w:b w:val="0"/>
          <w:bCs w:val="0"/>
          <w:sz w:val="32"/>
          <w:szCs w:val="32"/>
          <w:lang w:val="en-US" w:eastAsia="zh-CN"/>
        </w:rPr>
        <w:t xml:space="preserve">商务要求响应及偏离表</w:t>
      </w:r>
      <w:r>
        <w:rPr>
          <w:rFonts w:hint="eastAsia" w:ascii="Arial Unicode MS" w:hAnsi="Arial Unicode MS" w:eastAsia="Arial Unicode MS" w:cs="Arial Unicode MS"/>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中小企业声明函（货物）</w:t>
      </w:r>
      <w:r>
        <w:rPr>
          <w:rFonts w:hint="eastAsia" w:ascii="Arial Unicode MS" w:hAnsi="Arial Unicode MS" w:eastAsia="Arial Unicode MS" w:cs="Arial Unicode MS"/>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9"/>
      </w:pPr>
      <w:r>
        <w:rPr>
          <w:rFonts w:hint="eastAsia" w:ascii="Arial Unicode MS" w:hAnsi="Arial Unicode MS" w:eastAsia="Arial Unicode MS" w:cs="Arial Unicode MS"/>
          <w:color w:val="000000"/>
          <w:sz w:val="32"/>
          <w:szCs w:val="32"/>
          <w:lang w:val="en-US" w:eastAsia="zh-CN"/>
        </w:rPr>
        <w:t xml:space="preserve">残疾人福利性单位声明函</w:t>
      </w:r>
      <w:r>
        <w:rPr>
          <w:rFonts w:hint="eastAsia" w:ascii="Arial Unicode MS" w:hAnsi="Arial Unicode MS" w:eastAsia="Arial Unicode MS" w:cs="Arial Unicode MS"/>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69"/>
        <w:jc w:val="center"/>
        <w:spacing w:line="360" w:lineRule="auto"/>
        <w:rPr>
          <w:rFonts w:hint="eastAsia" w:ascii="Arial Unicode MS" w:hAnsi="Arial Unicode MS" w:eastAsia="Arial Unicode MS" w:cs="Arial Unicode MS"/>
          <w:color w:val="000000"/>
          <w:sz w:val="32"/>
          <w:szCs w:val="32"/>
          <w:lang w:val="en-US" w:eastAsia="zh-CN"/>
        </w:rPr>
        <w:outlineLvl w:val="9"/>
      </w:pPr>
      <w:r>
        <w:rPr>
          <w:rFonts w:hint="eastAsia" w:ascii="Arial Unicode MS" w:hAnsi="Arial Unicode MS" w:eastAsia="Arial Unicode MS" w:cs="Arial Unicode MS"/>
          <w:color w:val="000000"/>
          <w:sz w:val="32"/>
          <w:szCs w:val="32"/>
          <w:lang w:val="en-US" w:eastAsia="zh-CN"/>
        </w:rPr>
        <w:t xml:space="preserve">联合体协议</w:t>
      </w:r>
      <w:r>
        <w:rPr>
          <w:rFonts w:hint="eastAsia" w:ascii="Arial Unicode MS" w:hAnsi="Arial Unicode MS" w:eastAsia="Arial Unicode MS" w:cs="Arial Unicode MS"/>
          <w:color w:val="000000"/>
          <w:sz w:val="32"/>
          <w:szCs w:val="32"/>
          <w:lang w:val="en-US" w:eastAsia="zh-CN"/>
        </w:rPr>
      </w:r>
      <w:r/>
    </w:p>
    <w:p>
      <w:pPr>
        <w:pStyle w:val="86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69"/>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rPr>
          <w:rFonts w:hint="eastAsia" w:ascii="Arial Unicode MS" w:hAnsi="Arial Unicode MS" w:eastAsia="Arial Unicode MS" w:cs="Arial Unicode MS"/>
          <w:color w:val="000000"/>
          <w:sz w:val="32"/>
          <w:szCs w:val="32"/>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Style w:val="944"/>
          <w:rFonts w:hint="eastAsia"/>
          <w:i w:val="0"/>
          <w:shd w:val="clear" w:color="auto" w:fill="ffffff"/>
          <w:vertAlign w:val="superscript"/>
        </w:rPr>
        <w:t xml:space="preserve">3</w:t>
      </w:r>
      <w:r>
        <w:rPr>
          <w:rFonts w:hint="eastAsia"/>
          <w:strike w:val="0"/>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Style w:val="94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Style w:val="94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2"/>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Fonts w:hint="eastAsia"/>
          <w:strike w:val="0"/>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2"/>
        <w:ind w:firstLine="420"/>
        <w:spacing w:before="24" w:beforeAutospacing="0" w:after="24" w:afterAutospacing="0" w:line="360" w:lineRule="auto"/>
        <w:shd w:val="clear" w:color="auto" w:fill="ffffff"/>
        <w:rPr>
          <w:rFonts w:hint="eastAsia"/>
        </w:rPr>
      </w:pPr>
      <w:r/>
      <w:bookmarkStart w:id="208" w:name="OLE_LINK6"/>
      <w:r>
        <w:rPr>
          <w:rFonts w:hint="eastAsia"/>
          <w:shd w:val="clear" w:color="auto" w:fill="ffffff"/>
        </w:rPr>
        <w:t xml:space="preserve">本公司（单位）</w:t>
      </w:r>
      <w:bookmarkEnd w:id="208"/>
      <w:r>
        <w:rPr>
          <w:rFonts w:hint="eastAsia"/>
          <w:shd w:val="clear" w:color="auto" w:fill="ffffff"/>
        </w:rPr>
        <w:t xml:space="preserve">对上述声明内容的真实性负责。如有虚假，愿承担相应法律责任。</w:t>
      </w:r>
      <w:r>
        <w:rPr>
          <w:rFonts w:hint="eastAsia"/>
        </w:rPr>
      </w:r>
      <w:r/>
    </w:p>
    <w:p>
      <w:pPr>
        <w:pStyle w:val="93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2"/>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2"/>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b w:val="0"/>
          <w:bCs w:val="0"/>
          <w:sz w:val="21"/>
          <w:szCs w:val="21"/>
          <w:shd w:val="clear" w:color="auto" w:fill="ffffff"/>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69"/>
        <w:jc w:val="center"/>
        <w:rPr>
          <w:rFonts w:hint="eastAsia" w:ascii="Arial Unicode MS" w:hAnsi="Arial Unicode MS" w:eastAsia="Arial Unicode MS" w:cs="Arial Unicode MS"/>
          <w:b w:val="0"/>
          <w:bCs w:val="0"/>
          <w:sz w:val="32"/>
          <w:szCs w:val="32"/>
        </w:rPr>
      </w:pPr>
      <w:r>
        <w:br w:type="page" w:clear="all"/>
      </w:r>
      <w:bookmarkEnd w:id="204"/>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rPr>
          <w:rFonts w:hint="eastAsia" w:ascii="Arial Unicode MS" w:hAnsi="Arial Unicode MS" w:eastAsia="Arial Unicode MS" w:cs="Arial Unicode MS"/>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4"/>
    <w:link w:val="883"/>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4"/>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4"/>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character" w:styleId="883">
    <w:name w:val="标题 3 Char"/>
    <w:next w:val="883"/>
    <w:link w:val="872"/>
    <w:rPr>
      <w:rFonts w:ascii="Times New Roman" w:hAnsi="Times New Roman" w:eastAsia="宋体" w:cs="Times New Roman"/>
      <w:b/>
      <w:bCs/>
      <w:sz w:val="32"/>
      <w:szCs w:val="32"/>
    </w:rPr>
  </w:style>
  <w:style w:type="paragraph" w:styleId="884">
    <w:name w:val="正文缩进"/>
    <w:basedOn w:val="869"/>
    <w:next w:val="884"/>
    <w:link w:val="885"/>
    <w:pPr>
      <w:ind w:firstLine="420"/>
    </w:pPr>
    <w:rPr>
      <w:szCs w:val="21"/>
    </w:rPr>
  </w:style>
  <w:style w:type="character" w:styleId="885">
    <w:name w:val="正文缩进 Char"/>
    <w:next w:val="885"/>
    <w:link w:val="884"/>
    <w:rPr>
      <w:szCs w:val="21"/>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897">
    <w:name w:val="批注文字 字符"/>
    <w:basedOn w:val="879"/>
    <w:next w:val="897"/>
    <w:link w:val="896"/>
    <w:rPr>
      <w:rFonts w:ascii="Calibri" w:hAnsi="Calibri" w:eastAsia="宋体" w:cs="Times New Roman"/>
      <w:sz w:val="21"/>
      <w:szCs w:val="24"/>
    </w:rPr>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目录 5"/>
    <w:basedOn w:val="869"/>
    <w:next w:val="869"/>
    <w:link w:val="869"/>
    <w:semiHidden/>
    <w:pPr>
      <w:ind w:left="840"/>
      <w:jc w:val="left"/>
    </w:pPr>
    <w:rPr>
      <w:rFonts w:ascii="Times New Roman" w:hAnsi="Times New Roman" w:eastAsia="宋体" w:cs="Times New Roman"/>
      <w:szCs w:val="21"/>
    </w:rPr>
  </w:style>
  <w:style w:type="paragraph" w:styleId="907">
    <w:name w:val="目录 3"/>
    <w:basedOn w:val="869"/>
    <w:next w:val="869"/>
    <w:link w:val="869"/>
    <w:semiHidden/>
    <w:pPr>
      <w:ind w:left="420"/>
      <w:jc w:val="left"/>
    </w:pPr>
    <w:rPr>
      <w:rFonts w:ascii="Times New Roman" w:hAnsi="Times New Roman" w:eastAsia="宋体" w:cs="Times New Roman"/>
      <w:i/>
      <w:iCs/>
      <w:szCs w:val="24"/>
    </w:rPr>
  </w:style>
  <w:style w:type="paragraph" w:styleId="908">
    <w:name w:val="纯文本"/>
    <w:basedOn w:val="869"/>
    <w:next w:val="908"/>
    <w:link w:val="909"/>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rPr>
      <w:rFonts w:ascii="Times New Roman" w:hAnsi="Times New Roman" w:eastAsia="宋体" w:cs="Times New Roman"/>
      <w:szCs w:val="21"/>
    </w:rPr>
  </w:style>
  <w:style w:type="paragraph" w:styleId="911">
    <w:name w:val="日期"/>
    <w:basedOn w:val="869"/>
    <w:next w:val="869"/>
    <w:link w:val="912"/>
    <w:rPr>
      <w:rFonts w:ascii="Times New Roman" w:hAnsi="Times New Roman" w:eastAsia="宋体" w:cs="Times New Roman"/>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rFonts w:ascii="Times New Roman" w:hAnsi="Times New Roman" w:eastAsia="宋体" w:cs="Times New Roman"/>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9"/>
    <w:next w:val="869"/>
    <w:link w:val="869"/>
    <w:semiHidden/>
    <w:pPr>
      <w:ind w:left="630"/>
      <w:jc w:val="left"/>
    </w:pPr>
    <w:rPr>
      <w:rFonts w:ascii="Times New Roman" w:hAnsi="Times New Roman" w:eastAsia="宋体" w:cs="Times New Roman"/>
      <w:szCs w:val="21"/>
    </w:rPr>
  </w:style>
  <w:style w:type="paragraph" w:styleId="923">
    <w:name w:val="列表"/>
    <w:basedOn w:val="869"/>
    <w:next w:val="923"/>
    <w:link w:val="869"/>
    <w:pPr>
      <w:ind w:left="200" w:hanging="200"/>
    </w:pPr>
    <w:rPr>
      <w:rFonts w:ascii="Times New Roman" w:hAnsi="Times New Roman" w:eastAsia="宋体" w:cs="Times New Roman"/>
      <w:szCs w:val="21"/>
    </w:rPr>
  </w:style>
  <w:style w:type="paragraph" w:styleId="924">
    <w:name w:val="目录 6"/>
    <w:basedOn w:val="869"/>
    <w:next w:val="869"/>
    <w:link w:val="869"/>
    <w:semiHidden/>
    <w:pPr>
      <w:ind w:left="1050"/>
      <w:jc w:val="left"/>
    </w:pPr>
    <w:rPr>
      <w:rFonts w:ascii="Times New Roman" w:hAnsi="Times New Roman" w:eastAsia="宋体" w:cs="Times New Roman"/>
      <w:szCs w:val="21"/>
    </w:r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rPr>
      <w:rFonts w:ascii="Times New Roman" w:hAnsi="Times New Roman" w:eastAsia="宋体" w:cs="Times New Roman"/>
      <w:szCs w:val="21"/>
    </w:rPr>
  </w:style>
  <w:style w:type="paragraph" w:styleId="928">
    <w:name w:val="目录 2"/>
    <w:basedOn w:val="869"/>
    <w:next w:val="869"/>
    <w:link w:val="869"/>
    <w:semiHidden/>
    <w:pPr>
      <w:ind w:left="210"/>
      <w:jc w:val="left"/>
    </w:pPr>
    <w:rPr>
      <w:rFonts w:ascii="Times New Roman" w:hAnsi="Times New Roman" w:eastAsia="宋体" w:cs="Times New Roman"/>
      <w:smallCaps/>
      <w:szCs w:val="24"/>
    </w:rPr>
  </w:style>
  <w:style w:type="paragraph" w:styleId="929">
    <w:name w:val="目录 9"/>
    <w:basedOn w:val="869"/>
    <w:next w:val="869"/>
    <w:link w:val="869"/>
    <w:semiHidden/>
    <w:pPr>
      <w:ind w:left="1680"/>
      <w:jc w:val="left"/>
    </w:pPr>
    <w:rPr>
      <w:rFonts w:ascii="Times New Roman" w:hAnsi="Times New Roman" w:eastAsia="宋体" w:cs="Times New Roman"/>
      <w:szCs w:val="21"/>
    </w:rPr>
  </w:style>
  <w:style w:type="paragraph" w:styleId="930">
    <w:name w:val="正文文本 2"/>
    <w:basedOn w:val="869"/>
    <w:next w:val="930"/>
    <w:link w:val="931"/>
    <w:pPr>
      <w:jc w:val="center"/>
      <w:widowControl/>
    </w:pPr>
    <w:rPr>
      <w:rFonts w:ascii="楷体_GB2312" w:hAnsi="Times New Roman" w:eastAsia="楷体_GB2312" w:cs="Times New Roman"/>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eastAsia="宋体" w:cs="宋体"/>
      <w:sz w:val="24"/>
      <w:szCs w:val="24"/>
    </w:rPr>
  </w:style>
  <w:style w:type="paragraph" w:styleId="933">
    <w:name w:val="索引 1"/>
    <w:basedOn w:val="869"/>
    <w:next w:val="869"/>
    <w:link w:val="869"/>
    <w:semiHidden/>
    <w:pPr>
      <w:spacing w:line="240" w:lineRule="atLeast"/>
    </w:pPr>
    <w:rPr>
      <w:rFonts w:ascii="Times New Roman" w:hAnsi="Times New Roman" w:eastAsia="宋体" w:cs="Times New Roman"/>
      <w:b/>
      <w:bCs/>
      <w:szCs w:val="21"/>
    </w:rPr>
  </w:style>
  <w:style w:type="paragraph" w:styleId="934">
    <w:name w:val="批注主题"/>
    <w:basedOn w:val="896"/>
    <w:next w:val="896"/>
    <w:link w:val="935"/>
    <w:semiHidden/>
    <w:rPr>
      <w:rFonts w:ascii="Times New Roman" w:hAnsi="Times New Roman" w:eastAsia="宋体" w:cs="Times New Roman"/>
      <w:b/>
      <w:bCs/>
      <w:szCs w:val="21"/>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896"/>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0"/>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4"/>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4"/>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5"/>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4"/>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5</cp:revision>
  <dcterms:created xsi:type="dcterms:W3CDTF">2023-03-16T02:13:00Z</dcterms:created>
  <dcterms:modified xsi:type="dcterms:W3CDTF">2026-06-04T08:22:18Z</dcterms:modified>
</cp:coreProperties>
</file>